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71D" w:rsidRDefault="00D4571D" w:rsidP="00D4571D">
      <w:pPr>
        <w:spacing w:after="0"/>
        <w:jc w:val="center"/>
        <w:rPr>
          <w:rFonts w:ascii="Book Antiqua" w:hAnsi="Book Antiqua"/>
          <w:b/>
          <w:sz w:val="24"/>
          <w:szCs w:val="24"/>
          <w:u w:val="single"/>
        </w:rPr>
      </w:pPr>
      <w:r>
        <w:rPr>
          <w:rFonts w:ascii="Book Antiqua" w:hAnsi="Book Antiqua"/>
          <w:b/>
          <w:sz w:val="24"/>
          <w:szCs w:val="24"/>
          <w:u w:val="single"/>
        </w:rPr>
        <w:t>ANNEXURE-I</w:t>
      </w:r>
    </w:p>
    <w:p w:rsidR="00D4571D" w:rsidRPr="007605FA" w:rsidRDefault="00D4571D" w:rsidP="000575EB">
      <w:pPr>
        <w:spacing w:after="0" w:line="360" w:lineRule="auto"/>
        <w:jc w:val="center"/>
        <w:rPr>
          <w:rFonts w:ascii="Book Antiqua" w:hAnsi="Book Antiqua"/>
          <w:b/>
          <w:sz w:val="8"/>
          <w:szCs w:val="24"/>
          <w:u w:val="single"/>
        </w:rPr>
      </w:pPr>
    </w:p>
    <w:p w:rsidR="000575EB" w:rsidRPr="00C7779C" w:rsidRDefault="000575EB" w:rsidP="000575EB">
      <w:pPr>
        <w:spacing w:after="0" w:line="360" w:lineRule="auto"/>
        <w:jc w:val="center"/>
        <w:rPr>
          <w:rFonts w:ascii="Book Antiqua" w:hAnsi="Book Antiqua"/>
          <w:b/>
          <w:sz w:val="24"/>
          <w:szCs w:val="24"/>
          <w:u w:val="single"/>
        </w:rPr>
      </w:pPr>
      <w:r w:rsidRPr="00C7779C">
        <w:rPr>
          <w:rFonts w:ascii="Book Antiqua" w:hAnsi="Book Antiqua"/>
          <w:b/>
          <w:sz w:val="24"/>
          <w:szCs w:val="24"/>
          <w:u w:val="single"/>
        </w:rPr>
        <w:t>True-Up filings for FY 2024-25 and Annual Tariff Petition for FY 2026-27</w:t>
      </w:r>
    </w:p>
    <w:p w:rsidR="000575EB" w:rsidRPr="00C7779C" w:rsidRDefault="000575EB" w:rsidP="000575EB">
      <w:pPr>
        <w:tabs>
          <w:tab w:val="left" w:pos="709"/>
          <w:tab w:val="left" w:pos="851"/>
        </w:tabs>
        <w:spacing w:before="88" w:after="0" w:line="360" w:lineRule="auto"/>
        <w:ind w:left="4" w:right="142"/>
        <w:jc w:val="center"/>
        <w:rPr>
          <w:rFonts w:ascii="Book Antiqua" w:hAnsi="Book Antiqua"/>
          <w:b/>
          <w:sz w:val="24"/>
          <w:szCs w:val="24"/>
          <w:u w:val="single"/>
        </w:rPr>
      </w:pPr>
      <w:r w:rsidRPr="00C7779C">
        <w:rPr>
          <w:rFonts w:ascii="Book Antiqua" w:hAnsi="Book Antiqua"/>
          <w:b/>
          <w:sz w:val="24"/>
          <w:szCs w:val="24"/>
          <w:u w:val="single"/>
        </w:rPr>
        <w:t>Replies to submissions on SLDC Business Activity</w:t>
      </w:r>
      <w:r>
        <w:rPr>
          <w:rFonts w:ascii="Book Antiqua" w:hAnsi="Book Antiqua"/>
          <w:b/>
          <w:sz w:val="24"/>
          <w:szCs w:val="24"/>
          <w:u w:val="single"/>
        </w:rPr>
        <w:t xml:space="preserve"> O.P. No.69 of 2025</w:t>
      </w:r>
      <w:r w:rsidRPr="00C7779C">
        <w:rPr>
          <w:rFonts w:ascii="Book Antiqua" w:hAnsi="Book Antiqua"/>
          <w:b/>
          <w:sz w:val="24"/>
          <w:szCs w:val="24"/>
          <w:u w:val="single"/>
        </w:rPr>
        <w:t xml:space="preserve"> </w:t>
      </w:r>
      <w:r>
        <w:rPr>
          <w:rFonts w:ascii="Book Antiqua" w:hAnsi="Book Antiqua"/>
          <w:b/>
          <w:sz w:val="24"/>
          <w:szCs w:val="24"/>
          <w:u w:val="single"/>
        </w:rPr>
        <w:t>by TGDISCOMs. (TGSPDCL).</w:t>
      </w:r>
    </w:p>
    <w:tbl>
      <w:tblPr>
        <w:tblW w:w="15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4543"/>
        <w:gridCol w:w="9960"/>
      </w:tblGrid>
      <w:tr w:rsidR="000575EB" w:rsidRPr="00C26823" w:rsidTr="004C04FF">
        <w:trPr>
          <w:tblHeader/>
          <w:jc w:val="center"/>
        </w:trPr>
        <w:tc>
          <w:tcPr>
            <w:tcW w:w="816" w:type="dxa"/>
            <w:vAlign w:val="center"/>
          </w:tcPr>
          <w:p w:rsidR="000575EB" w:rsidRPr="00C26823" w:rsidRDefault="000575EB" w:rsidP="004C04FF">
            <w:pPr>
              <w:spacing w:after="0" w:line="240" w:lineRule="auto"/>
              <w:jc w:val="center"/>
              <w:rPr>
                <w:rFonts w:ascii="Book Antiqua" w:eastAsia="Times New Roman" w:hAnsi="Book Antiqua"/>
                <w:b/>
                <w:sz w:val="24"/>
                <w:szCs w:val="24"/>
              </w:rPr>
            </w:pPr>
            <w:proofErr w:type="spellStart"/>
            <w:r w:rsidRPr="00C26823">
              <w:rPr>
                <w:rFonts w:ascii="Book Antiqua" w:eastAsia="Times New Roman" w:hAnsi="Book Antiqua"/>
                <w:b/>
                <w:sz w:val="24"/>
                <w:szCs w:val="24"/>
              </w:rPr>
              <w:t>S.No</w:t>
            </w:r>
            <w:proofErr w:type="spellEnd"/>
            <w:r w:rsidRPr="00C26823">
              <w:rPr>
                <w:rFonts w:ascii="Book Antiqua" w:eastAsia="Times New Roman" w:hAnsi="Book Antiqua"/>
                <w:b/>
                <w:sz w:val="24"/>
                <w:szCs w:val="24"/>
              </w:rPr>
              <w:t>.</w:t>
            </w:r>
          </w:p>
        </w:tc>
        <w:tc>
          <w:tcPr>
            <w:tcW w:w="4543" w:type="dxa"/>
            <w:vAlign w:val="center"/>
          </w:tcPr>
          <w:p w:rsidR="000575EB" w:rsidRPr="00C26823" w:rsidRDefault="000575EB" w:rsidP="004C04FF">
            <w:pPr>
              <w:spacing w:after="0" w:line="240" w:lineRule="auto"/>
              <w:jc w:val="center"/>
              <w:rPr>
                <w:rFonts w:ascii="Book Antiqua" w:eastAsia="Times New Roman" w:hAnsi="Book Antiqua"/>
                <w:b/>
                <w:sz w:val="24"/>
                <w:szCs w:val="24"/>
              </w:rPr>
            </w:pPr>
            <w:r w:rsidRPr="00C26823">
              <w:rPr>
                <w:rFonts w:ascii="Book Antiqua" w:eastAsia="Times New Roman" w:hAnsi="Book Antiqua"/>
                <w:b/>
                <w:sz w:val="24"/>
                <w:szCs w:val="24"/>
              </w:rPr>
              <w:t>Objections</w:t>
            </w:r>
          </w:p>
        </w:tc>
        <w:tc>
          <w:tcPr>
            <w:tcW w:w="9960" w:type="dxa"/>
            <w:vAlign w:val="center"/>
          </w:tcPr>
          <w:p w:rsidR="000575EB" w:rsidRPr="00C26823" w:rsidRDefault="000575EB" w:rsidP="004C04FF">
            <w:pPr>
              <w:spacing w:after="0" w:line="240" w:lineRule="auto"/>
              <w:jc w:val="center"/>
              <w:rPr>
                <w:rFonts w:ascii="Book Antiqua" w:eastAsia="Times New Roman" w:hAnsi="Book Antiqua"/>
                <w:b/>
                <w:sz w:val="24"/>
                <w:szCs w:val="24"/>
              </w:rPr>
            </w:pPr>
            <w:r w:rsidRPr="00C26823">
              <w:rPr>
                <w:rFonts w:ascii="Book Antiqua" w:eastAsia="Times New Roman" w:hAnsi="Book Antiqua"/>
                <w:b/>
                <w:sz w:val="24"/>
                <w:szCs w:val="24"/>
              </w:rPr>
              <w:t>Reply</w:t>
            </w:r>
          </w:p>
        </w:tc>
      </w:tr>
      <w:tr w:rsidR="001E411B" w:rsidRPr="00C26823" w:rsidTr="004C04FF">
        <w:trPr>
          <w:jc w:val="center"/>
        </w:trPr>
        <w:tc>
          <w:tcPr>
            <w:tcW w:w="816" w:type="dxa"/>
            <w:vAlign w:val="center"/>
          </w:tcPr>
          <w:p w:rsidR="001E411B" w:rsidRPr="00C26823" w:rsidRDefault="001E411B" w:rsidP="004C04FF">
            <w:pPr>
              <w:spacing w:after="0" w:line="240" w:lineRule="auto"/>
              <w:jc w:val="both"/>
              <w:rPr>
                <w:rFonts w:ascii="Book Antiqua" w:hAnsi="Book Antiqua"/>
                <w:sz w:val="24"/>
                <w:szCs w:val="24"/>
              </w:rPr>
            </w:pPr>
            <w:r>
              <w:rPr>
                <w:rFonts w:ascii="Book Antiqua" w:hAnsi="Book Antiqua"/>
                <w:sz w:val="24"/>
                <w:szCs w:val="24"/>
              </w:rPr>
              <w:t>1</w:t>
            </w:r>
          </w:p>
        </w:tc>
        <w:tc>
          <w:tcPr>
            <w:tcW w:w="4543" w:type="dxa"/>
            <w:shd w:val="clear" w:color="auto" w:fill="auto"/>
          </w:tcPr>
          <w:p w:rsidR="001E411B" w:rsidRPr="00C26823" w:rsidRDefault="001E411B" w:rsidP="00E71A91">
            <w:pPr>
              <w:pStyle w:val="BodyText"/>
              <w:spacing w:line="271" w:lineRule="auto"/>
              <w:ind w:left="23" w:right="168"/>
              <w:jc w:val="both"/>
              <w:rPr>
                <w:rFonts w:ascii="Book Antiqua" w:hAnsi="Book Antiqua"/>
                <w:b/>
                <w:shd w:val="clear" w:color="auto" w:fill="D9D9D9"/>
              </w:rPr>
            </w:pPr>
            <w:r w:rsidRPr="00C26823">
              <w:rPr>
                <w:rFonts w:ascii="Book Antiqua" w:hAnsi="Book Antiqua"/>
                <w:sz w:val="24"/>
                <w:szCs w:val="24"/>
              </w:rPr>
              <w:t xml:space="preserve">Depreciation rises sharply from </w:t>
            </w:r>
            <w:proofErr w:type="spellStart"/>
            <w:r w:rsidRPr="00C26823">
              <w:rPr>
                <w:rFonts w:ascii="Book Antiqua" w:hAnsi="Book Antiqua"/>
                <w:sz w:val="24"/>
                <w:szCs w:val="24"/>
              </w:rPr>
              <w:t>Rs</w:t>
            </w:r>
            <w:proofErr w:type="spellEnd"/>
            <w:r w:rsidRPr="00C26823">
              <w:rPr>
                <w:rFonts w:ascii="Book Antiqua" w:hAnsi="Book Antiqua"/>
                <w:sz w:val="24"/>
                <w:szCs w:val="24"/>
              </w:rPr>
              <w:t xml:space="preserve">. 1.41 crore (MYT order) to </w:t>
            </w:r>
            <w:proofErr w:type="spellStart"/>
            <w:r w:rsidRPr="00C26823">
              <w:rPr>
                <w:rFonts w:ascii="Book Antiqua" w:hAnsi="Book Antiqua"/>
                <w:sz w:val="24"/>
                <w:szCs w:val="24"/>
              </w:rPr>
              <w:t>Rs</w:t>
            </w:r>
            <w:proofErr w:type="spellEnd"/>
            <w:r w:rsidRPr="00C26823">
              <w:rPr>
                <w:rFonts w:ascii="Book Antiqua" w:hAnsi="Book Antiqua"/>
                <w:sz w:val="24"/>
                <w:szCs w:val="24"/>
              </w:rPr>
              <w:t>. 4.08 crore actual (page 11, Table</w:t>
            </w:r>
            <w:r w:rsidRPr="00C26823">
              <w:rPr>
                <w:rFonts w:ascii="Book Antiqua" w:hAnsi="Book Antiqua"/>
                <w:sz w:val="24"/>
                <w:szCs w:val="24"/>
              </w:rPr>
              <w:noBreakHyphen/>
              <w:t>2). SLDC attributes this to reclassification of fixed assets on 01.04.2024, and depreciation on REMC</w:t>
            </w:r>
            <w:r w:rsidRPr="00C26823">
              <w:rPr>
                <w:rFonts w:ascii="Book Antiqua" w:hAnsi="Book Antiqua"/>
                <w:sz w:val="24"/>
                <w:szCs w:val="24"/>
              </w:rPr>
              <w:noBreakHyphen/>
              <w:t>grant assets (</w:t>
            </w:r>
            <w:proofErr w:type="spellStart"/>
            <w:r w:rsidRPr="00C26823">
              <w:rPr>
                <w:rFonts w:ascii="Book Antiqua" w:hAnsi="Book Antiqua"/>
                <w:sz w:val="24"/>
                <w:szCs w:val="24"/>
              </w:rPr>
              <w:t>Rs</w:t>
            </w:r>
            <w:proofErr w:type="spellEnd"/>
            <w:r w:rsidRPr="00C26823">
              <w:rPr>
                <w:rFonts w:ascii="Book Antiqua" w:hAnsi="Book Antiqua"/>
                <w:sz w:val="24"/>
                <w:szCs w:val="24"/>
              </w:rPr>
              <w:t xml:space="preserve">. 1.19 crore). For FY 2026-27, the depreciation claimed is </w:t>
            </w:r>
            <w:proofErr w:type="spellStart"/>
            <w:r w:rsidRPr="00C26823">
              <w:rPr>
                <w:rFonts w:ascii="Book Antiqua" w:hAnsi="Book Antiqua"/>
                <w:sz w:val="24"/>
                <w:szCs w:val="24"/>
              </w:rPr>
              <w:t>Rs</w:t>
            </w:r>
            <w:proofErr w:type="spellEnd"/>
            <w:r w:rsidRPr="00C26823">
              <w:rPr>
                <w:rFonts w:ascii="Book Antiqua" w:hAnsi="Book Antiqua"/>
                <w:sz w:val="24"/>
                <w:szCs w:val="24"/>
              </w:rPr>
              <w:t>. 10.55 crore. TGDISCOMs request the Hon’ble Commission to direct TGSLDC to provide justification with detailed breakup on scheme-wise capital expenditure, capitalization and depreciation.</w:t>
            </w:r>
          </w:p>
        </w:tc>
        <w:tc>
          <w:tcPr>
            <w:tcW w:w="9960" w:type="dxa"/>
          </w:tcPr>
          <w:p w:rsidR="001E411B" w:rsidRPr="00C26823" w:rsidRDefault="001E411B" w:rsidP="001E411B">
            <w:pPr>
              <w:pStyle w:val="BodyText"/>
              <w:spacing w:before="41" w:line="240" w:lineRule="auto"/>
              <w:ind w:left="23" w:right="166"/>
              <w:jc w:val="both"/>
              <w:rPr>
                <w:rFonts w:ascii="Book Antiqua" w:hAnsi="Book Antiqua"/>
                <w:sz w:val="24"/>
                <w:szCs w:val="24"/>
              </w:rPr>
            </w:pPr>
            <w:r w:rsidRPr="00C26823">
              <w:rPr>
                <w:rFonts w:ascii="Book Antiqua" w:hAnsi="Book Antiqua"/>
                <w:sz w:val="24"/>
                <w:szCs w:val="24"/>
              </w:rPr>
              <w:t xml:space="preserve">The During the FY 2024-25 the Company has reclassified some of the assets in compliance with regulation 2 of 2023. </w:t>
            </w:r>
          </w:p>
          <w:p w:rsidR="001E411B" w:rsidRPr="00C26823" w:rsidRDefault="001E411B" w:rsidP="001E411B">
            <w:pPr>
              <w:pStyle w:val="BodyText"/>
              <w:spacing w:before="41" w:line="240" w:lineRule="auto"/>
              <w:ind w:left="23" w:right="166"/>
              <w:jc w:val="both"/>
              <w:rPr>
                <w:rFonts w:ascii="Book Antiqua" w:hAnsi="Book Antiqua"/>
                <w:sz w:val="24"/>
                <w:szCs w:val="24"/>
              </w:rPr>
            </w:pPr>
            <w:r w:rsidRPr="00C26823">
              <w:rPr>
                <w:rFonts w:ascii="Book Antiqua" w:hAnsi="Book Antiqua"/>
                <w:sz w:val="24"/>
                <w:szCs w:val="24"/>
              </w:rPr>
              <w:t xml:space="preserve">The increase in depreciation is mainly on account of reclassification of assets and Capitalization of assets during the FY 2024-25. </w:t>
            </w:r>
          </w:p>
          <w:p w:rsidR="001E411B" w:rsidRPr="00C26823" w:rsidRDefault="001E411B" w:rsidP="001E411B">
            <w:pPr>
              <w:overflowPunct w:val="0"/>
              <w:autoSpaceDE w:val="0"/>
              <w:autoSpaceDN w:val="0"/>
              <w:adjustRightInd w:val="0"/>
              <w:spacing w:after="0" w:line="240" w:lineRule="auto"/>
              <w:jc w:val="both"/>
              <w:rPr>
                <w:rFonts w:ascii="Book Antiqua" w:hAnsi="Book Antiqua"/>
                <w:sz w:val="24"/>
                <w:szCs w:val="24"/>
              </w:rPr>
            </w:pPr>
            <w:r w:rsidRPr="00C26823">
              <w:rPr>
                <w:rFonts w:ascii="Book Antiqua" w:hAnsi="Book Antiqua"/>
                <w:sz w:val="24"/>
                <w:szCs w:val="24"/>
              </w:rPr>
              <w:t>Further, at the time of filing of MYT the company has not taken in to consideration of reclassification of assets, hence there is difference in depreciation approved by the Hon’ble Commission and actual depreciation claimed in the FY 2024-25.</w:t>
            </w:r>
          </w:p>
          <w:p w:rsidR="001E411B" w:rsidRPr="007605FA" w:rsidRDefault="001E411B" w:rsidP="001E411B">
            <w:pPr>
              <w:overflowPunct w:val="0"/>
              <w:autoSpaceDE w:val="0"/>
              <w:autoSpaceDN w:val="0"/>
              <w:adjustRightInd w:val="0"/>
              <w:spacing w:after="0" w:line="240" w:lineRule="auto"/>
              <w:jc w:val="both"/>
              <w:rPr>
                <w:rFonts w:ascii="Book Antiqua" w:hAnsi="Book Antiqua"/>
                <w:sz w:val="16"/>
                <w:szCs w:val="24"/>
              </w:rPr>
            </w:pPr>
          </w:p>
          <w:p w:rsidR="001E411B" w:rsidRDefault="001E411B" w:rsidP="001E411B">
            <w:pPr>
              <w:overflowPunct w:val="0"/>
              <w:autoSpaceDE w:val="0"/>
              <w:autoSpaceDN w:val="0"/>
              <w:adjustRightInd w:val="0"/>
              <w:spacing w:after="0" w:line="240" w:lineRule="auto"/>
              <w:jc w:val="both"/>
              <w:rPr>
                <w:rFonts w:ascii="Book Antiqua" w:hAnsi="Book Antiqua"/>
                <w:sz w:val="24"/>
                <w:szCs w:val="24"/>
              </w:rPr>
            </w:pPr>
            <w:r w:rsidRPr="00C26823">
              <w:rPr>
                <w:rFonts w:ascii="Book Antiqua" w:hAnsi="Book Antiqua"/>
                <w:sz w:val="24"/>
                <w:szCs w:val="24"/>
              </w:rPr>
              <w:t xml:space="preserve">The depreciation for the FY 2026–27 has increased mainly an account of   Capitalization of </w:t>
            </w:r>
            <w:proofErr w:type="spellStart"/>
            <w:r w:rsidRPr="00C26823">
              <w:rPr>
                <w:rFonts w:ascii="Book Antiqua" w:hAnsi="Book Antiqua"/>
                <w:sz w:val="24"/>
                <w:szCs w:val="24"/>
              </w:rPr>
              <w:t>Rs</w:t>
            </w:r>
            <w:proofErr w:type="spellEnd"/>
            <w:r w:rsidRPr="00C26823">
              <w:rPr>
                <w:rFonts w:ascii="Book Antiqua" w:hAnsi="Book Antiqua"/>
                <w:sz w:val="24"/>
                <w:szCs w:val="24"/>
              </w:rPr>
              <w:t xml:space="preserve">. 62.16 </w:t>
            </w:r>
            <w:proofErr w:type="spellStart"/>
            <w:r w:rsidRPr="00C26823">
              <w:rPr>
                <w:rFonts w:ascii="Book Antiqua" w:hAnsi="Book Antiqua"/>
                <w:sz w:val="24"/>
                <w:szCs w:val="24"/>
              </w:rPr>
              <w:t>Crs</w:t>
            </w:r>
            <w:proofErr w:type="spellEnd"/>
            <w:r w:rsidRPr="00C26823">
              <w:rPr>
                <w:rFonts w:ascii="Book Antiqua" w:hAnsi="Book Antiqua"/>
                <w:sz w:val="24"/>
                <w:szCs w:val="24"/>
              </w:rPr>
              <w:t xml:space="preserve">. Pertaining to Back up SLDC at Warangal and Up gradation of existing SCADA/EMS system at main SLDC, </w:t>
            </w:r>
            <w:proofErr w:type="spellStart"/>
            <w:r w:rsidRPr="00C26823">
              <w:rPr>
                <w:rFonts w:ascii="Book Antiqua" w:hAnsi="Book Antiqua"/>
                <w:sz w:val="24"/>
                <w:szCs w:val="24"/>
              </w:rPr>
              <w:t>Hyd</w:t>
            </w:r>
            <w:proofErr w:type="spellEnd"/>
            <w:r w:rsidR="00E84AED">
              <w:rPr>
                <w:rFonts w:ascii="Book Antiqua" w:hAnsi="Book Antiqua"/>
                <w:sz w:val="24"/>
                <w:szCs w:val="24"/>
              </w:rPr>
              <w:t>, which is included in IT equipment of Rs.73.99 Crores for FY: 2026-27.</w:t>
            </w:r>
          </w:p>
          <w:p w:rsidR="00E84AED" w:rsidRPr="007605FA" w:rsidRDefault="00E84AED" w:rsidP="001E411B">
            <w:pPr>
              <w:overflowPunct w:val="0"/>
              <w:autoSpaceDE w:val="0"/>
              <w:autoSpaceDN w:val="0"/>
              <w:adjustRightInd w:val="0"/>
              <w:spacing w:after="0" w:line="240" w:lineRule="auto"/>
              <w:jc w:val="both"/>
              <w:rPr>
                <w:rFonts w:ascii="Book Antiqua" w:hAnsi="Book Antiqua"/>
                <w:sz w:val="14"/>
                <w:szCs w:val="24"/>
              </w:rPr>
            </w:pPr>
          </w:p>
          <w:p w:rsidR="001E411B" w:rsidRPr="00C26823" w:rsidRDefault="001E411B" w:rsidP="00E71A91">
            <w:pPr>
              <w:overflowPunct w:val="0"/>
              <w:autoSpaceDE w:val="0"/>
              <w:autoSpaceDN w:val="0"/>
              <w:adjustRightInd w:val="0"/>
              <w:spacing w:after="0" w:line="240" w:lineRule="auto"/>
              <w:jc w:val="both"/>
              <w:rPr>
                <w:rFonts w:ascii="Book Antiqua" w:hAnsi="Book Antiqua"/>
                <w:sz w:val="24"/>
                <w:szCs w:val="24"/>
              </w:rPr>
            </w:pPr>
            <w:r w:rsidRPr="00C26823">
              <w:rPr>
                <w:rFonts w:ascii="Book Antiqua" w:hAnsi="Book Antiqua"/>
                <w:sz w:val="24"/>
                <w:szCs w:val="24"/>
              </w:rPr>
              <w:t>A statement showing detailed breakup &amp; Capital Expenditure &amp; Capitalization along with depreciation  is enclosed.</w:t>
            </w:r>
          </w:p>
        </w:tc>
      </w:tr>
      <w:tr w:rsidR="000575EB" w:rsidRPr="00C26823" w:rsidTr="004C04FF">
        <w:trPr>
          <w:jc w:val="center"/>
        </w:trPr>
        <w:tc>
          <w:tcPr>
            <w:tcW w:w="816" w:type="dxa"/>
            <w:vAlign w:val="center"/>
          </w:tcPr>
          <w:p w:rsidR="000575EB" w:rsidRPr="00C26823" w:rsidRDefault="001E411B" w:rsidP="004C04FF">
            <w:pPr>
              <w:spacing w:after="0" w:line="240" w:lineRule="auto"/>
              <w:jc w:val="both"/>
              <w:rPr>
                <w:rFonts w:ascii="Book Antiqua" w:hAnsi="Book Antiqua"/>
                <w:sz w:val="24"/>
                <w:szCs w:val="24"/>
              </w:rPr>
            </w:pPr>
            <w:r>
              <w:rPr>
                <w:rFonts w:ascii="Book Antiqua" w:hAnsi="Book Antiqua"/>
                <w:sz w:val="24"/>
                <w:szCs w:val="24"/>
              </w:rPr>
              <w:t>2</w:t>
            </w: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p w:rsidR="000575EB" w:rsidRPr="00C26823" w:rsidRDefault="000575EB" w:rsidP="004C04FF">
            <w:pPr>
              <w:spacing w:after="0" w:line="240" w:lineRule="auto"/>
              <w:jc w:val="both"/>
              <w:rPr>
                <w:rFonts w:ascii="Book Antiqua" w:hAnsi="Book Antiqua"/>
                <w:sz w:val="24"/>
                <w:szCs w:val="24"/>
              </w:rPr>
            </w:pPr>
          </w:p>
        </w:tc>
        <w:tc>
          <w:tcPr>
            <w:tcW w:w="4543" w:type="dxa"/>
            <w:shd w:val="clear" w:color="auto" w:fill="auto"/>
          </w:tcPr>
          <w:p w:rsidR="000575EB" w:rsidRPr="00C26823" w:rsidRDefault="000575EB" w:rsidP="004C04FF">
            <w:pPr>
              <w:pStyle w:val="Heading3"/>
              <w:rPr>
                <w:rFonts w:ascii="Book Antiqua" w:hAnsi="Book Antiqua"/>
                <w:b/>
                <w:color w:val="auto"/>
                <w:shd w:val="clear" w:color="auto" w:fill="D9D9D9"/>
              </w:rPr>
            </w:pPr>
          </w:p>
          <w:p w:rsidR="008E0C9A" w:rsidRDefault="000575EB" w:rsidP="004C04FF">
            <w:pPr>
              <w:pStyle w:val="BodyText"/>
              <w:spacing w:line="271" w:lineRule="auto"/>
              <w:ind w:left="23" w:right="168"/>
              <w:jc w:val="both"/>
              <w:rPr>
                <w:rFonts w:ascii="Book Antiqua" w:hAnsi="Book Antiqua"/>
                <w:sz w:val="24"/>
                <w:szCs w:val="24"/>
              </w:rPr>
            </w:pPr>
            <w:r w:rsidRPr="00C26823">
              <w:rPr>
                <w:rFonts w:ascii="Book Antiqua" w:hAnsi="Book Antiqua"/>
                <w:sz w:val="24"/>
                <w:szCs w:val="24"/>
              </w:rPr>
              <w:t xml:space="preserve">R&amp;M increases from </w:t>
            </w:r>
            <w:proofErr w:type="spellStart"/>
            <w:r w:rsidRPr="00C26823">
              <w:rPr>
                <w:rFonts w:ascii="Book Antiqua" w:hAnsi="Book Antiqua"/>
                <w:sz w:val="24"/>
                <w:szCs w:val="24"/>
              </w:rPr>
              <w:t>Rs</w:t>
            </w:r>
            <w:proofErr w:type="spellEnd"/>
            <w:r w:rsidRPr="00C26823">
              <w:rPr>
                <w:rFonts w:ascii="Book Antiqua" w:hAnsi="Book Antiqua"/>
                <w:sz w:val="24"/>
                <w:szCs w:val="24"/>
              </w:rPr>
              <w:t xml:space="preserve">. 1.59 crore to </w:t>
            </w:r>
            <w:proofErr w:type="spellStart"/>
            <w:r w:rsidRPr="00C26823">
              <w:rPr>
                <w:rFonts w:ascii="Book Antiqua" w:hAnsi="Book Antiqua"/>
                <w:sz w:val="24"/>
                <w:szCs w:val="24"/>
              </w:rPr>
              <w:t>Rs</w:t>
            </w:r>
            <w:proofErr w:type="spellEnd"/>
            <w:r w:rsidRPr="00C26823">
              <w:rPr>
                <w:rFonts w:ascii="Book Antiqua" w:hAnsi="Book Antiqua"/>
                <w:sz w:val="24"/>
                <w:szCs w:val="24"/>
              </w:rPr>
              <w:t>. 3.31 crore, yet Form</w:t>
            </w:r>
            <w:r w:rsidRPr="00C26823">
              <w:rPr>
                <w:rFonts w:ascii="Book Antiqua" w:hAnsi="Book Antiqua"/>
                <w:sz w:val="24"/>
                <w:szCs w:val="24"/>
              </w:rPr>
              <w:noBreakHyphen/>
              <w:t>2.3 shows that the K</w:t>
            </w:r>
            <w:r w:rsidRPr="00C26823">
              <w:rPr>
                <w:rFonts w:ascii="Book Antiqua" w:hAnsi="Book Antiqua"/>
                <w:sz w:val="24"/>
                <w:szCs w:val="24"/>
              </w:rPr>
              <w:noBreakHyphen/>
              <w:t>factor differs significantly year</w:t>
            </w:r>
            <w:r w:rsidRPr="00C26823">
              <w:rPr>
                <w:rFonts w:ascii="Book Antiqua" w:hAnsi="Book Antiqua"/>
                <w:sz w:val="24"/>
                <w:szCs w:val="24"/>
              </w:rPr>
              <w:noBreakHyphen/>
              <w:t>to</w:t>
            </w:r>
            <w:r w:rsidRPr="00C26823">
              <w:rPr>
                <w:rFonts w:ascii="Book Antiqua" w:hAnsi="Book Antiqua"/>
                <w:sz w:val="24"/>
                <w:szCs w:val="24"/>
              </w:rPr>
              <w:noBreakHyphen/>
              <w:t xml:space="preserve">year, and no technical justification is provided for doubling </w:t>
            </w:r>
            <w:r w:rsidRPr="00C26823">
              <w:rPr>
                <w:rFonts w:ascii="Book Antiqua" w:hAnsi="Book Antiqua"/>
                <w:sz w:val="24"/>
                <w:szCs w:val="24"/>
              </w:rPr>
              <w:lastRenderedPageBreak/>
              <w:t xml:space="preserve">R&amp;M despite stable GFA. DISCOMs request SLDC to provide justification. </w:t>
            </w:r>
          </w:p>
          <w:p w:rsidR="00484192" w:rsidRDefault="00484192" w:rsidP="004C04FF">
            <w:pPr>
              <w:pStyle w:val="BodyText"/>
              <w:spacing w:line="271" w:lineRule="auto"/>
              <w:ind w:left="23" w:right="168"/>
              <w:jc w:val="both"/>
              <w:rPr>
                <w:rFonts w:ascii="Book Antiqua" w:hAnsi="Book Antiqua"/>
                <w:sz w:val="24"/>
                <w:szCs w:val="24"/>
              </w:rPr>
            </w:pPr>
          </w:p>
          <w:p w:rsidR="00484192" w:rsidRDefault="00484192" w:rsidP="004C04FF">
            <w:pPr>
              <w:pStyle w:val="BodyText"/>
              <w:spacing w:line="271" w:lineRule="auto"/>
              <w:ind w:left="23" w:right="168"/>
              <w:jc w:val="both"/>
              <w:rPr>
                <w:rFonts w:ascii="Book Antiqua" w:hAnsi="Book Antiqua"/>
                <w:sz w:val="24"/>
                <w:szCs w:val="24"/>
              </w:rPr>
            </w:pPr>
          </w:p>
          <w:p w:rsidR="008E0C9A" w:rsidRPr="00C26823" w:rsidRDefault="008E0C9A" w:rsidP="004C04FF">
            <w:pPr>
              <w:pStyle w:val="BodyText"/>
              <w:spacing w:line="271" w:lineRule="auto"/>
              <w:ind w:left="23" w:right="168"/>
              <w:jc w:val="both"/>
              <w:rPr>
                <w:rFonts w:ascii="Book Antiqua" w:hAnsi="Book Antiqua"/>
                <w:sz w:val="24"/>
                <w:szCs w:val="24"/>
              </w:rPr>
            </w:pPr>
          </w:p>
          <w:p w:rsidR="008E0C9A" w:rsidRPr="00C26823" w:rsidRDefault="008E0C9A" w:rsidP="004C04FF">
            <w:pPr>
              <w:pStyle w:val="BodyText"/>
              <w:spacing w:line="271" w:lineRule="auto"/>
              <w:ind w:left="23" w:right="168"/>
              <w:jc w:val="both"/>
              <w:rPr>
                <w:rFonts w:ascii="Book Antiqua" w:hAnsi="Book Antiqua"/>
                <w:sz w:val="24"/>
                <w:szCs w:val="24"/>
              </w:rPr>
            </w:pPr>
          </w:p>
          <w:p w:rsidR="008E0C9A" w:rsidRPr="00C26823" w:rsidRDefault="008E0C9A" w:rsidP="004C04FF">
            <w:pPr>
              <w:pStyle w:val="BodyText"/>
              <w:spacing w:line="271" w:lineRule="auto"/>
              <w:ind w:left="23" w:right="168"/>
              <w:jc w:val="both"/>
              <w:rPr>
                <w:rFonts w:ascii="Book Antiqua" w:hAnsi="Book Antiqua"/>
                <w:sz w:val="24"/>
                <w:szCs w:val="24"/>
              </w:rPr>
            </w:pPr>
          </w:p>
          <w:p w:rsidR="000575EB" w:rsidRPr="00C26823" w:rsidRDefault="000575EB" w:rsidP="004C04FF">
            <w:pPr>
              <w:pStyle w:val="BodyText"/>
              <w:spacing w:line="271" w:lineRule="auto"/>
              <w:ind w:left="23" w:right="163"/>
              <w:rPr>
                <w:rFonts w:ascii="Book Antiqua" w:hAnsi="Book Antiqua"/>
                <w:b/>
                <w:sz w:val="24"/>
                <w:szCs w:val="24"/>
              </w:rPr>
            </w:pPr>
          </w:p>
        </w:tc>
        <w:tc>
          <w:tcPr>
            <w:tcW w:w="9960" w:type="dxa"/>
          </w:tcPr>
          <w:p w:rsidR="000575EB" w:rsidRPr="00C26823" w:rsidRDefault="000575EB" w:rsidP="004C04FF">
            <w:pPr>
              <w:overflowPunct w:val="0"/>
              <w:autoSpaceDE w:val="0"/>
              <w:autoSpaceDN w:val="0"/>
              <w:adjustRightInd w:val="0"/>
              <w:spacing w:after="0" w:line="240" w:lineRule="auto"/>
              <w:jc w:val="both"/>
              <w:rPr>
                <w:rFonts w:ascii="Book Antiqua" w:hAnsi="Book Antiqua"/>
                <w:sz w:val="24"/>
                <w:szCs w:val="24"/>
              </w:rPr>
            </w:pPr>
          </w:p>
          <w:p w:rsidR="000575EB" w:rsidRPr="00C26823" w:rsidRDefault="000575EB" w:rsidP="004C04FF">
            <w:pPr>
              <w:pStyle w:val="BodyText"/>
              <w:spacing w:line="271" w:lineRule="auto"/>
              <w:ind w:right="168"/>
              <w:jc w:val="both"/>
              <w:rPr>
                <w:rFonts w:ascii="Book Antiqua" w:hAnsi="Book Antiqua"/>
                <w:sz w:val="24"/>
                <w:szCs w:val="24"/>
              </w:rPr>
            </w:pPr>
            <w:r w:rsidRPr="00C26823">
              <w:rPr>
                <w:rFonts w:ascii="Book Antiqua" w:hAnsi="Book Antiqua"/>
                <w:sz w:val="24"/>
                <w:szCs w:val="24"/>
              </w:rPr>
              <w:t>As per clause 98.3 of Regulation 2 of 2023 R &amp; M expenses for the relevant year is arrived on opening GFA at K factor by duly escalating at WPI inflation.</w:t>
            </w:r>
          </w:p>
          <w:p w:rsidR="000575EB" w:rsidRPr="00C26823" w:rsidRDefault="000575EB" w:rsidP="004C04FF">
            <w:pPr>
              <w:pStyle w:val="BodyText"/>
              <w:spacing w:line="271" w:lineRule="auto"/>
              <w:ind w:right="168"/>
              <w:jc w:val="both"/>
              <w:rPr>
                <w:rFonts w:ascii="Book Antiqua" w:hAnsi="Book Antiqua"/>
                <w:sz w:val="24"/>
                <w:szCs w:val="24"/>
              </w:rPr>
            </w:pPr>
            <w:r w:rsidRPr="00C26823">
              <w:rPr>
                <w:rFonts w:ascii="Book Antiqua" w:hAnsi="Book Antiqua"/>
                <w:sz w:val="24"/>
                <w:szCs w:val="24"/>
              </w:rPr>
              <w:t xml:space="preserve">For the FY 2026-27 the R &amp; M Cost has been arrived on opening GFA of </w:t>
            </w:r>
            <w:proofErr w:type="spellStart"/>
            <w:r w:rsidRPr="00C26823">
              <w:rPr>
                <w:rFonts w:ascii="Book Antiqua" w:hAnsi="Book Antiqua"/>
                <w:sz w:val="24"/>
                <w:szCs w:val="24"/>
              </w:rPr>
              <w:t>Rs</w:t>
            </w:r>
            <w:proofErr w:type="spellEnd"/>
            <w:r w:rsidRPr="00C26823">
              <w:rPr>
                <w:rFonts w:ascii="Book Antiqua" w:hAnsi="Book Antiqua"/>
                <w:sz w:val="24"/>
                <w:szCs w:val="24"/>
              </w:rPr>
              <w:t xml:space="preserve">. 52.29 </w:t>
            </w:r>
            <w:proofErr w:type="spellStart"/>
            <w:r w:rsidRPr="00C26823">
              <w:rPr>
                <w:rFonts w:ascii="Book Antiqua" w:hAnsi="Book Antiqua"/>
                <w:sz w:val="24"/>
                <w:szCs w:val="24"/>
              </w:rPr>
              <w:t>Crs</w:t>
            </w:r>
            <w:proofErr w:type="spellEnd"/>
            <w:r w:rsidRPr="00C26823">
              <w:rPr>
                <w:rFonts w:ascii="Book Antiqua" w:hAnsi="Book Antiqua"/>
                <w:sz w:val="24"/>
                <w:szCs w:val="24"/>
              </w:rPr>
              <w:t>. By multiplying K factor has at 6.03% (K factor has been arrived by considering average R &amp; M cost of the last 5 years) and the same has been escalated with WPI inflation rate of 5.05%</w:t>
            </w:r>
          </w:p>
          <w:p w:rsidR="000575EB" w:rsidRPr="00C26823" w:rsidRDefault="000575EB" w:rsidP="004C04FF">
            <w:pPr>
              <w:pStyle w:val="BodyText"/>
              <w:spacing w:line="271" w:lineRule="auto"/>
              <w:ind w:right="168"/>
              <w:jc w:val="both"/>
              <w:rPr>
                <w:rFonts w:ascii="Book Antiqua" w:hAnsi="Book Antiqua"/>
                <w:sz w:val="24"/>
                <w:szCs w:val="24"/>
              </w:rPr>
            </w:pPr>
            <w:r w:rsidRPr="00C26823">
              <w:rPr>
                <w:rFonts w:ascii="Book Antiqua" w:hAnsi="Book Antiqua"/>
                <w:sz w:val="24"/>
                <w:szCs w:val="24"/>
              </w:rPr>
              <w:t>K factor computation is attached.</w:t>
            </w:r>
          </w:p>
          <w:p w:rsidR="008E0C9A" w:rsidRPr="00C26823" w:rsidRDefault="000575EB" w:rsidP="004C04FF">
            <w:pPr>
              <w:pStyle w:val="BodyText"/>
              <w:spacing w:line="271" w:lineRule="auto"/>
              <w:ind w:right="168"/>
              <w:jc w:val="both"/>
              <w:rPr>
                <w:rFonts w:ascii="Book Antiqua" w:hAnsi="Book Antiqua"/>
                <w:sz w:val="24"/>
                <w:szCs w:val="24"/>
              </w:rPr>
            </w:pPr>
            <w:r w:rsidRPr="00C26823">
              <w:rPr>
                <w:rFonts w:ascii="Book Antiqua" w:hAnsi="Book Antiqua"/>
                <w:sz w:val="24"/>
                <w:szCs w:val="24"/>
              </w:rPr>
              <w:lastRenderedPageBreak/>
              <w:t xml:space="preserve">                                                                                                                 </w:t>
            </w:r>
          </w:p>
          <w:p w:rsidR="000575EB" w:rsidRPr="00C26823" w:rsidRDefault="008E0C9A" w:rsidP="004C04FF">
            <w:pPr>
              <w:pStyle w:val="BodyText"/>
              <w:spacing w:line="271" w:lineRule="auto"/>
              <w:ind w:right="168"/>
              <w:jc w:val="both"/>
              <w:rPr>
                <w:rFonts w:ascii="Book Antiqua" w:hAnsi="Book Antiqua"/>
                <w:sz w:val="24"/>
                <w:szCs w:val="24"/>
              </w:rPr>
            </w:pPr>
            <w:r w:rsidRPr="00C26823">
              <w:rPr>
                <w:rFonts w:ascii="Book Antiqua" w:hAnsi="Book Antiqua"/>
                <w:sz w:val="24"/>
                <w:szCs w:val="24"/>
              </w:rPr>
              <w:t xml:space="preserve">                                                                                                  </w:t>
            </w:r>
            <w:r w:rsidR="000575EB" w:rsidRPr="00C26823">
              <w:rPr>
                <w:rFonts w:ascii="Book Antiqua" w:hAnsi="Book Antiqua"/>
                <w:sz w:val="24"/>
                <w:szCs w:val="24"/>
              </w:rPr>
              <w:t xml:space="preserve">  (</w:t>
            </w:r>
            <w:proofErr w:type="spellStart"/>
            <w:r w:rsidR="000575EB" w:rsidRPr="00C26823">
              <w:rPr>
                <w:rFonts w:ascii="Book Antiqua" w:hAnsi="Book Antiqua"/>
                <w:sz w:val="24"/>
                <w:szCs w:val="24"/>
              </w:rPr>
              <w:t>Rs</w:t>
            </w:r>
            <w:proofErr w:type="spellEnd"/>
            <w:r w:rsidR="000575EB" w:rsidRPr="00C26823">
              <w:rPr>
                <w:rFonts w:ascii="Book Antiqua" w:hAnsi="Book Antiqua"/>
                <w:sz w:val="24"/>
                <w:szCs w:val="24"/>
              </w:rPr>
              <w:t xml:space="preserve">. in </w:t>
            </w:r>
            <w:proofErr w:type="spellStart"/>
            <w:r w:rsidR="000575EB" w:rsidRPr="00C26823">
              <w:rPr>
                <w:rFonts w:ascii="Book Antiqua" w:hAnsi="Book Antiqua"/>
                <w:sz w:val="24"/>
                <w:szCs w:val="24"/>
              </w:rPr>
              <w:t>Crs</w:t>
            </w:r>
            <w:proofErr w:type="spellEnd"/>
            <w:r w:rsidR="000575EB" w:rsidRPr="00C26823">
              <w:rPr>
                <w:rFonts w:ascii="Book Antiqua" w:hAnsi="Book Antiqua"/>
                <w:sz w:val="24"/>
                <w:szCs w:val="24"/>
              </w:rPr>
              <w:t>.)</w:t>
            </w:r>
          </w:p>
          <w:tbl>
            <w:tblPr>
              <w:tblW w:w="4281" w:type="dxa"/>
              <w:jc w:val="center"/>
              <w:tblLayout w:type="fixed"/>
              <w:tblLook w:val="04A0" w:firstRow="1" w:lastRow="0" w:firstColumn="1" w:lastColumn="0" w:noHBand="0" w:noVBand="1"/>
            </w:tblPr>
            <w:tblGrid>
              <w:gridCol w:w="1163"/>
              <w:gridCol w:w="992"/>
              <w:gridCol w:w="851"/>
              <w:gridCol w:w="1275"/>
            </w:tblGrid>
            <w:tr w:rsidR="000575EB" w:rsidRPr="00C26823" w:rsidTr="004C04FF">
              <w:trPr>
                <w:trHeight w:val="315"/>
                <w:jc w:val="center"/>
              </w:trPr>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575EB" w:rsidRPr="00C26823" w:rsidRDefault="000575EB" w:rsidP="004C04FF">
                  <w:pPr>
                    <w:spacing w:after="0" w:line="240" w:lineRule="auto"/>
                    <w:jc w:val="center"/>
                    <w:rPr>
                      <w:rFonts w:ascii="Book Antiqua" w:eastAsia="Times New Roman" w:hAnsi="Book Antiqua"/>
                      <w:b/>
                      <w:bCs/>
                      <w:color w:val="000000"/>
                      <w:sz w:val="24"/>
                      <w:szCs w:val="24"/>
                      <w:lang w:val="en-IN" w:eastAsia="en-IN"/>
                    </w:rPr>
                  </w:pPr>
                  <w:r w:rsidRPr="00C26823">
                    <w:rPr>
                      <w:rFonts w:ascii="Book Antiqua" w:eastAsia="Times New Roman" w:hAnsi="Book Antiqua"/>
                      <w:b/>
                      <w:bCs/>
                      <w:color w:val="000000"/>
                      <w:sz w:val="24"/>
                      <w:szCs w:val="24"/>
                      <w:lang w:val="en-IN" w:eastAsia="en-IN"/>
                    </w:rPr>
                    <w:t>FY</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575EB" w:rsidRPr="00C26823" w:rsidRDefault="000575EB" w:rsidP="004C04FF">
                  <w:pPr>
                    <w:spacing w:after="0" w:line="240" w:lineRule="auto"/>
                    <w:jc w:val="center"/>
                    <w:rPr>
                      <w:rFonts w:ascii="Book Antiqua" w:eastAsia="Times New Roman" w:hAnsi="Book Antiqua"/>
                      <w:b/>
                      <w:bCs/>
                      <w:color w:val="000000"/>
                      <w:sz w:val="24"/>
                      <w:szCs w:val="24"/>
                      <w:lang w:val="en-IN" w:eastAsia="en-IN"/>
                    </w:rPr>
                  </w:pPr>
                  <w:r w:rsidRPr="00C26823">
                    <w:rPr>
                      <w:rFonts w:ascii="Book Antiqua" w:eastAsia="Times New Roman" w:hAnsi="Book Antiqua"/>
                      <w:b/>
                      <w:bCs/>
                      <w:color w:val="000000"/>
                      <w:sz w:val="24"/>
                      <w:szCs w:val="24"/>
                      <w:lang w:val="en-IN" w:eastAsia="en-IN"/>
                    </w:rPr>
                    <w:t>GFA</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575EB" w:rsidRPr="00C26823" w:rsidRDefault="000575EB" w:rsidP="004C04FF">
                  <w:pPr>
                    <w:spacing w:after="0" w:line="240" w:lineRule="auto"/>
                    <w:jc w:val="center"/>
                    <w:rPr>
                      <w:rFonts w:ascii="Book Antiqua" w:eastAsia="Times New Roman" w:hAnsi="Book Antiqua"/>
                      <w:b/>
                      <w:bCs/>
                      <w:color w:val="000000"/>
                      <w:sz w:val="24"/>
                      <w:szCs w:val="24"/>
                      <w:lang w:val="en-IN" w:eastAsia="en-IN"/>
                    </w:rPr>
                  </w:pPr>
                  <w:r w:rsidRPr="00C26823">
                    <w:rPr>
                      <w:rFonts w:ascii="Book Antiqua" w:eastAsia="Times New Roman" w:hAnsi="Book Antiqua"/>
                      <w:b/>
                      <w:bCs/>
                      <w:color w:val="000000"/>
                      <w:sz w:val="24"/>
                      <w:szCs w:val="24"/>
                      <w:lang w:val="en-IN" w:eastAsia="en-IN"/>
                    </w:rPr>
                    <w:t>R &amp; M</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0575EB" w:rsidRPr="00C26823" w:rsidRDefault="000575EB" w:rsidP="004C04FF">
                  <w:pPr>
                    <w:spacing w:after="0" w:line="240" w:lineRule="auto"/>
                    <w:jc w:val="center"/>
                    <w:rPr>
                      <w:rFonts w:ascii="Book Antiqua" w:eastAsia="Times New Roman" w:hAnsi="Book Antiqua"/>
                      <w:b/>
                      <w:bCs/>
                      <w:color w:val="000000"/>
                      <w:sz w:val="24"/>
                      <w:szCs w:val="24"/>
                      <w:lang w:val="en-IN" w:eastAsia="en-IN"/>
                    </w:rPr>
                  </w:pPr>
                  <w:r w:rsidRPr="00C26823">
                    <w:rPr>
                      <w:rFonts w:ascii="Book Antiqua" w:eastAsia="Times New Roman" w:hAnsi="Book Antiqua"/>
                      <w:b/>
                      <w:bCs/>
                      <w:color w:val="000000"/>
                      <w:sz w:val="24"/>
                      <w:szCs w:val="24"/>
                      <w:lang w:val="en-IN" w:eastAsia="en-IN"/>
                    </w:rPr>
                    <w:t>K FACTOR</w:t>
                  </w:r>
                </w:p>
              </w:tc>
            </w:tr>
            <w:tr w:rsidR="000575EB" w:rsidRPr="00C26823" w:rsidTr="004C04FF">
              <w:trPr>
                <w:trHeight w:val="300"/>
                <w:jc w:val="center"/>
              </w:trPr>
              <w:tc>
                <w:tcPr>
                  <w:tcW w:w="1163" w:type="dxa"/>
                  <w:tcBorders>
                    <w:top w:val="nil"/>
                    <w:left w:val="single" w:sz="4" w:space="0" w:color="auto"/>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2021-22</w:t>
                  </w:r>
                </w:p>
              </w:tc>
              <w:tc>
                <w:tcPr>
                  <w:tcW w:w="992"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17.63</w:t>
                  </w:r>
                </w:p>
              </w:tc>
              <w:tc>
                <w:tcPr>
                  <w:tcW w:w="851"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1.02</w:t>
                  </w:r>
                </w:p>
              </w:tc>
              <w:tc>
                <w:tcPr>
                  <w:tcW w:w="1275"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 </w:t>
                  </w:r>
                </w:p>
              </w:tc>
            </w:tr>
            <w:tr w:rsidR="000575EB" w:rsidRPr="00C26823" w:rsidTr="004C04FF">
              <w:trPr>
                <w:trHeight w:val="300"/>
                <w:jc w:val="center"/>
              </w:trPr>
              <w:tc>
                <w:tcPr>
                  <w:tcW w:w="1163" w:type="dxa"/>
                  <w:tcBorders>
                    <w:top w:val="nil"/>
                    <w:left w:val="single" w:sz="4" w:space="0" w:color="auto"/>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2022-23</w:t>
                  </w:r>
                </w:p>
              </w:tc>
              <w:tc>
                <w:tcPr>
                  <w:tcW w:w="992"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18.95</w:t>
                  </w:r>
                </w:p>
              </w:tc>
              <w:tc>
                <w:tcPr>
                  <w:tcW w:w="851"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0.82</w:t>
                  </w:r>
                </w:p>
              </w:tc>
              <w:tc>
                <w:tcPr>
                  <w:tcW w:w="1275"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 </w:t>
                  </w:r>
                </w:p>
              </w:tc>
            </w:tr>
            <w:tr w:rsidR="000575EB" w:rsidRPr="00C26823" w:rsidTr="004C04FF">
              <w:trPr>
                <w:trHeight w:val="300"/>
                <w:jc w:val="center"/>
              </w:trPr>
              <w:tc>
                <w:tcPr>
                  <w:tcW w:w="1163" w:type="dxa"/>
                  <w:tcBorders>
                    <w:top w:val="nil"/>
                    <w:left w:val="single" w:sz="4" w:space="0" w:color="auto"/>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2023-24</w:t>
                  </w:r>
                </w:p>
              </w:tc>
              <w:tc>
                <w:tcPr>
                  <w:tcW w:w="992"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19.25</w:t>
                  </w:r>
                </w:p>
              </w:tc>
              <w:tc>
                <w:tcPr>
                  <w:tcW w:w="851"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0.84</w:t>
                  </w:r>
                </w:p>
              </w:tc>
              <w:tc>
                <w:tcPr>
                  <w:tcW w:w="1275"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 </w:t>
                  </w:r>
                </w:p>
              </w:tc>
            </w:tr>
            <w:tr w:rsidR="000575EB" w:rsidRPr="00C26823" w:rsidTr="004C04FF">
              <w:trPr>
                <w:trHeight w:val="300"/>
                <w:jc w:val="center"/>
              </w:trPr>
              <w:tc>
                <w:tcPr>
                  <w:tcW w:w="1163" w:type="dxa"/>
                  <w:tcBorders>
                    <w:top w:val="nil"/>
                    <w:left w:val="single" w:sz="4" w:space="0" w:color="auto"/>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2024-25</w:t>
                  </w:r>
                </w:p>
              </w:tc>
              <w:tc>
                <w:tcPr>
                  <w:tcW w:w="992"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28.05</w:t>
                  </w:r>
                </w:p>
              </w:tc>
              <w:tc>
                <w:tcPr>
                  <w:tcW w:w="851"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2.38</w:t>
                  </w:r>
                </w:p>
              </w:tc>
              <w:tc>
                <w:tcPr>
                  <w:tcW w:w="1275"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 </w:t>
                  </w:r>
                </w:p>
              </w:tc>
            </w:tr>
            <w:tr w:rsidR="000575EB" w:rsidRPr="00C26823" w:rsidTr="004C04FF">
              <w:trPr>
                <w:trHeight w:val="300"/>
                <w:jc w:val="center"/>
              </w:trPr>
              <w:tc>
                <w:tcPr>
                  <w:tcW w:w="1163" w:type="dxa"/>
                  <w:tcBorders>
                    <w:top w:val="nil"/>
                    <w:left w:val="single" w:sz="4" w:space="0" w:color="auto"/>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2025-26</w:t>
                  </w:r>
                </w:p>
              </w:tc>
              <w:tc>
                <w:tcPr>
                  <w:tcW w:w="992"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28.26</w:t>
                  </w:r>
                </w:p>
              </w:tc>
              <w:tc>
                <w:tcPr>
                  <w:tcW w:w="851"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sz w:val="24"/>
                      <w:szCs w:val="24"/>
                      <w:lang w:val="en-IN" w:eastAsia="en-IN"/>
                    </w:rPr>
                  </w:pPr>
                  <w:r w:rsidRPr="00C26823">
                    <w:rPr>
                      <w:rFonts w:ascii="Book Antiqua" w:eastAsia="Times New Roman" w:hAnsi="Book Antiqua" w:cs="Arial"/>
                      <w:sz w:val="24"/>
                      <w:szCs w:val="24"/>
                      <w:lang w:val="en-IN" w:eastAsia="en-IN"/>
                    </w:rPr>
                    <w:t>1.7</w:t>
                  </w:r>
                </w:p>
              </w:tc>
              <w:tc>
                <w:tcPr>
                  <w:tcW w:w="1275" w:type="dxa"/>
                  <w:tcBorders>
                    <w:top w:val="nil"/>
                    <w:left w:val="nil"/>
                    <w:bottom w:val="single" w:sz="4" w:space="0" w:color="auto"/>
                    <w:right w:val="single" w:sz="4" w:space="0" w:color="auto"/>
                  </w:tcBorders>
                  <w:shd w:val="clear" w:color="auto" w:fill="auto"/>
                  <w:noWrap/>
                  <w:vAlign w:val="bottom"/>
                  <w:hideMark/>
                </w:tcPr>
                <w:p w:rsidR="000575EB" w:rsidRPr="00C26823" w:rsidRDefault="000575EB" w:rsidP="004C04FF">
                  <w:pPr>
                    <w:spacing w:after="0" w:line="240" w:lineRule="auto"/>
                    <w:rPr>
                      <w:rFonts w:ascii="Book Antiqua" w:eastAsia="Times New Roman" w:hAnsi="Book Antiqua"/>
                      <w:color w:val="000000"/>
                      <w:sz w:val="24"/>
                      <w:szCs w:val="24"/>
                      <w:lang w:val="en-IN" w:eastAsia="en-IN"/>
                    </w:rPr>
                  </w:pPr>
                  <w:r w:rsidRPr="00C26823">
                    <w:rPr>
                      <w:rFonts w:ascii="Book Antiqua" w:eastAsia="Times New Roman" w:hAnsi="Book Antiqua"/>
                      <w:color w:val="000000"/>
                      <w:sz w:val="24"/>
                      <w:szCs w:val="24"/>
                      <w:lang w:val="en-IN" w:eastAsia="en-IN"/>
                    </w:rPr>
                    <w:t> </w:t>
                  </w:r>
                </w:p>
              </w:tc>
            </w:tr>
            <w:tr w:rsidR="000575EB" w:rsidRPr="00C26823" w:rsidTr="004C04FF">
              <w:trPr>
                <w:trHeight w:val="300"/>
                <w:jc w:val="center"/>
              </w:trPr>
              <w:tc>
                <w:tcPr>
                  <w:tcW w:w="1163" w:type="dxa"/>
                  <w:tcBorders>
                    <w:top w:val="nil"/>
                    <w:left w:val="single" w:sz="4" w:space="0" w:color="auto"/>
                    <w:bottom w:val="single" w:sz="4" w:space="0" w:color="auto"/>
                    <w:right w:val="single" w:sz="4" w:space="0" w:color="auto"/>
                  </w:tcBorders>
                  <w:shd w:val="clear" w:color="auto" w:fill="auto"/>
                  <w:noWrap/>
                  <w:vAlign w:val="bottom"/>
                  <w:hideMark/>
                </w:tcPr>
                <w:p w:rsidR="000575EB" w:rsidRPr="00C26823" w:rsidRDefault="000575EB" w:rsidP="004C04FF">
                  <w:pPr>
                    <w:spacing w:after="0" w:line="240" w:lineRule="auto"/>
                    <w:rPr>
                      <w:rFonts w:ascii="Book Antiqua" w:eastAsia="Times New Roman" w:hAnsi="Book Antiqua"/>
                      <w:b/>
                      <w:bCs/>
                      <w:color w:val="000000"/>
                      <w:sz w:val="24"/>
                      <w:szCs w:val="24"/>
                      <w:lang w:val="en-IN" w:eastAsia="en-IN"/>
                    </w:rPr>
                  </w:pPr>
                  <w:r w:rsidRPr="00C26823">
                    <w:rPr>
                      <w:rFonts w:ascii="Book Antiqua" w:eastAsia="Times New Roman" w:hAnsi="Book Antiqua"/>
                      <w:b/>
                      <w:bCs/>
                      <w:color w:val="000000"/>
                      <w:sz w:val="24"/>
                      <w:szCs w:val="24"/>
                      <w:lang w:val="en-IN" w:eastAsia="en-IN"/>
                    </w:rPr>
                    <w:t>Total</w:t>
                  </w:r>
                </w:p>
              </w:tc>
              <w:tc>
                <w:tcPr>
                  <w:tcW w:w="992"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b/>
                      <w:bCs/>
                      <w:sz w:val="24"/>
                      <w:szCs w:val="24"/>
                      <w:lang w:val="en-IN" w:eastAsia="en-IN"/>
                    </w:rPr>
                  </w:pPr>
                  <w:r w:rsidRPr="00C26823">
                    <w:rPr>
                      <w:rFonts w:ascii="Book Antiqua" w:eastAsia="Times New Roman" w:hAnsi="Book Antiqua" w:cs="Arial"/>
                      <w:b/>
                      <w:bCs/>
                      <w:sz w:val="24"/>
                      <w:szCs w:val="24"/>
                      <w:lang w:val="en-IN" w:eastAsia="en-IN"/>
                    </w:rPr>
                    <w:t>112.14</w:t>
                  </w:r>
                </w:p>
              </w:tc>
              <w:tc>
                <w:tcPr>
                  <w:tcW w:w="851"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b/>
                      <w:bCs/>
                      <w:sz w:val="24"/>
                      <w:szCs w:val="24"/>
                      <w:lang w:val="en-IN" w:eastAsia="en-IN"/>
                    </w:rPr>
                  </w:pPr>
                  <w:r w:rsidRPr="00C26823">
                    <w:rPr>
                      <w:rFonts w:ascii="Book Antiqua" w:eastAsia="Times New Roman" w:hAnsi="Book Antiqua" w:cs="Arial"/>
                      <w:b/>
                      <w:bCs/>
                      <w:sz w:val="24"/>
                      <w:szCs w:val="24"/>
                      <w:lang w:val="en-IN" w:eastAsia="en-IN"/>
                    </w:rPr>
                    <w:t>6.76</w:t>
                  </w:r>
                </w:p>
              </w:tc>
              <w:tc>
                <w:tcPr>
                  <w:tcW w:w="1275" w:type="dxa"/>
                  <w:tcBorders>
                    <w:top w:val="nil"/>
                    <w:left w:val="nil"/>
                    <w:bottom w:val="single" w:sz="4" w:space="0" w:color="auto"/>
                    <w:right w:val="single" w:sz="4" w:space="0" w:color="auto"/>
                  </w:tcBorders>
                  <w:shd w:val="clear" w:color="auto" w:fill="auto"/>
                  <w:noWrap/>
                  <w:vAlign w:val="center"/>
                  <w:hideMark/>
                </w:tcPr>
                <w:p w:rsidR="000575EB" w:rsidRPr="00C26823" w:rsidRDefault="000575EB" w:rsidP="004C04FF">
                  <w:pPr>
                    <w:spacing w:after="0" w:line="240" w:lineRule="auto"/>
                    <w:jc w:val="right"/>
                    <w:rPr>
                      <w:rFonts w:ascii="Book Antiqua" w:eastAsia="Times New Roman" w:hAnsi="Book Antiqua" w:cs="Arial"/>
                      <w:b/>
                      <w:bCs/>
                      <w:sz w:val="24"/>
                      <w:szCs w:val="24"/>
                      <w:lang w:val="en-IN" w:eastAsia="en-IN"/>
                    </w:rPr>
                  </w:pPr>
                  <w:r w:rsidRPr="00C26823">
                    <w:rPr>
                      <w:rFonts w:ascii="Book Antiqua" w:eastAsia="Times New Roman" w:hAnsi="Book Antiqua" w:cs="Arial"/>
                      <w:b/>
                      <w:bCs/>
                      <w:sz w:val="24"/>
                      <w:szCs w:val="24"/>
                      <w:lang w:val="en-IN" w:eastAsia="en-IN"/>
                    </w:rPr>
                    <w:t>6.03</w:t>
                  </w:r>
                </w:p>
              </w:tc>
            </w:tr>
          </w:tbl>
          <w:p w:rsidR="000575EB" w:rsidRPr="00C26823" w:rsidRDefault="000575EB" w:rsidP="004C04FF">
            <w:pPr>
              <w:overflowPunct w:val="0"/>
              <w:autoSpaceDE w:val="0"/>
              <w:autoSpaceDN w:val="0"/>
              <w:adjustRightInd w:val="0"/>
              <w:spacing w:after="0" w:line="240" w:lineRule="auto"/>
              <w:jc w:val="both"/>
              <w:rPr>
                <w:rFonts w:ascii="Book Antiqua" w:hAnsi="Book Antiqua"/>
                <w:sz w:val="24"/>
                <w:szCs w:val="24"/>
              </w:rPr>
            </w:pPr>
          </w:p>
        </w:tc>
      </w:tr>
      <w:tr w:rsidR="000575EB" w:rsidRPr="00C26823" w:rsidTr="004C04FF">
        <w:trPr>
          <w:jc w:val="center"/>
        </w:trPr>
        <w:tc>
          <w:tcPr>
            <w:tcW w:w="816" w:type="dxa"/>
            <w:vAlign w:val="center"/>
          </w:tcPr>
          <w:p w:rsidR="000575EB" w:rsidRPr="00C26823" w:rsidRDefault="000575EB" w:rsidP="004C04FF">
            <w:pPr>
              <w:spacing w:after="0" w:line="240" w:lineRule="auto"/>
              <w:jc w:val="both"/>
              <w:rPr>
                <w:rFonts w:ascii="Book Antiqua" w:hAnsi="Book Antiqua"/>
                <w:sz w:val="24"/>
                <w:szCs w:val="24"/>
              </w:rPr>
            </w:pPr>
            <w:r w:rsidRPr="00C26823">
              <w:rPr>
                <w:rFonts w:ascii="Book Antiqua" w:hAnsi="Book Antiqua"/>
                <w:sz w:val="24"/>
                <w:szCs w:val="24"/>
              </w:rPr>
              <w:lastRenderedPageBreak/>
              <w:t>3</w:t>
            </w:r>
          </w:p>
        </w:tc>
        <w:tc>
          <w:tcPr>
            <w:tcW w:w="4543" w:type="dxa"/>
            <w:shd w:val="clear" w:color="auto" w:fill="auto"/>
            <w:vAlign w:val="center"/>
          </w:tcPr>
          <w:p w:rsidR="000575EB" w:rsidRPr="00C26823" w:rsidRDefault="000575EB" w:rsidP="004C04FF">
            <w:pPr>
              <w:jc w:val="both"/>
              <w:rPr>
                <w:rFonts w:ascii="Book Antiqua" w:hAnsi="Book Antiqua"/>
                <w:sz w:val="24"/>
                <w:szCs w:val="24"/>
              </w:rPr>
            </w:pPr>
            <w:r w:rsidRPr="00C26823">
              <w:rPr>
                <w:rFonts w:ascii="Book Antiqua" w:hAnsi="Book Antiqua"/>
                <w:sz w:val="24"/>
                <w:szCs w:val="24"/>
              </w:rPr>
              <w:t xml:space="preserve">The SAMAST scheme cost is </w:t>
            </w:r>
            <w:proofErr w:type="spellStart"/>
            <w:r w:rsidRPr="00C26823">
              <w:rPr>
                <w:rFonts w:ascii="Book Antiqua" w:hAnsi="Book Antiqua"/>
                <w:sz w:val="24"/>
                <w:szCs w:val="24"/>
              </w:rPr>
              <w:t>Rs</w:t>
            </w:r>
            <w:proofErr w:type="spellEnd"/>
            <w:r w:rsidRPr="00C26823">
              <w:rPr>
                <w:rFonts w:ascii="Book Antiqua" w:hAnsi="Book Antiqua"/>
                <w:sz w:val="24"/>
                <w:szCs w:val="24"/>
              </w:rPr>
              <w:t xml:space="preserve">. 21.95 crore with </w:t>
            </w:r>
            <w:proofErr w:type="spellStart"/>
            <w:r w:rsidRPr="00C26823">
              <w:rPr>
                <w:rFonts w:ascii="Book Antiqua" w:hAnsi="Book Antiqua"/>
                <w:sz w:val="24"/>
                <w:szCs w:val="24"/>
              </w:rPr>
              <w:t>Rs</w:t>
            </w:r>
            <w:proofErr w:type="spellEnd"/>
            <w:r w:rsidRPr="00C26823">
              <w:rPr>
                <w:rFonts w:ascii="Book Antiqua" w:hAnsi="Book Antiqua"/>
                <w:sz w:val="24"/>
                <w:szCs w:val="24"/>
              </w:rPr>
              <w:t xml:space="preserve">. 12.48 crore PSDF grant, Grant </w:t>
            </w:r>
            <w:proofErr w:type="spellStart"/>
            <w:r w:rsidRPr="00C26823">
              <w:rPr>
                <w:rFonts w:ascii="Book Antiqua" w:hAnsi="Book Antiqua"/>
                <w:sz w:val="24"/>
                <w:szCs w:val="24"/>
              </w:rPr>
              <w:t>utilisation</w:t>
            </w:r>
            <w:proofErr w:type="spellEnd"/>
            <w:r w:rsidRPr="00C26823">
              <w:rPr>
                <w:rFonts w:ascii="Book Antiqua" w:hAnsi="Book Antiqua"/>
                <w:sz w:val="24"/>
                <w:szCs w:val="24"/>
              </w:rPr>
              <w:t xml:space="preserve"> (actual vs booked) is not reconciled in Formats. Depreciation on grant funded assets must not burden licensees. DISCOMs request SLDC to provide justification.</w:t>
            </w:r>
          </w:p>
          <w:p w:rsidR="000575EB" w:rsidRPr="00C26823" w:rsidRDefault="000575EB" w:rsidP="004C04FF">
            <w:pPr>
              <w:jc w:val="center"/>
              <w:rPr>
                <w:rFonts w:ascii="Book Antiqua" w:hAnsi="Book Antiqua"/>
                <w:sz w:val="24"/>
                <w:szCs w:val="24"/>
              </w:rPr>
            </w:pPr>
          </w:p>
          <w:p w:rsidR="000575EB" w:rsidRPr="00C26823" w:rsidRDefault="000575EB" w:rsidP="004C04FF">
            <w:pPr>
              <w:pStyle w:val="Heading3"/>
              <w:rPr>
                <w:rFonts w:ascii="Book Antiqua" w:hAnsi="Book Antiqua"/>
                <w:b/>
                <w:color w:val="auto"/>
                <w:shd w:val="clear" w:color="auto" w:fill="D9D9D9"/>
              </w:rPr>
            </w:pPr>
          </w:p>
        </w:tc>
        <w:tc>
          <w:tcPr>
            <w:tcW w:w="9960" w:type="dxa"/>
          </w:tcPr>
          <w:p w:rsidR="00164B93" w:rsidRDefault="00164B93" w:rsidP="004C04FF">
            <w:pPr>
              <w:pStyle w:val="BodyText"/>
              <w:spacing w:before="41" w:line="240" w:lineRule="auto"/>
              <w:ind w:left="23" w:right="166"/>
              <w:jc w:val="both"/>
              <w:rPr>
                <w:rFonts w:ascii="Book Antiqua" w:hAnsi="Book Antiqua"/>
                <w:sz w:val="24"/>
                <w:szCs w:val="24"/>
              </w:rPr>
            </w:pPr>
          </w:p>
          <w:p w:rsidR="000575EB" w:rsidRPr="00C26823" w:rsidRDefault="000575EB" w:rsidP="004C04FF">
            <w:pPr>
              <w:pStyle w:val="BodyText"/>
              <w:spacing w:before="41" w:line="240" w:lineRule="auto"/>
              <w:ind w:left="23" w:right="166"/>
              <w:jc w:val="both"/>
              <w:rPr>
                <w:rFonts w:ascii="Book Antiqua" w:hAnsi="Book Antiqua"/>
                <w:sz w:val="24"/>
                <w:szCs w:val="24"/>
              </w:rPr>
            </w:pPr>
            <w:r w:rsidRPr="00C26823">
              <w:rPr>
                <w:rFonts w:ascii="Book Antiqua" w:hAnsi="Book Antiqua"/>
                <w:sz w:val="24"/>
                <w:szCs w:val="24"/>
              </w:rPr>
              <w:t xml:space="preserve">The SAMAST scheme cost is </w:t>
            </w:r>
            <w:proofErr w:type="spellStart"/>
            <w:r w:rsidRPr="00C26823">
              <w:rPr>
                <w:rFonts w:ascii="Book Antiqua" w:hAnsi="Book Antiqua"/>
                <w:sz w:val="24"/>
                <w:szCs w:val="24"/>
              </w:rPr>
              <w:t>Rs</w:t>
            </w:r>
            <w:proofErr w:type="spellEnd"/>
            <w:r w:rsidRPr="00C26823">
              <w:rPr>
                <w:rFonts w:ascii="Book Antiqua" w:hAnsi="Book Antiqua"/>
                <w:sz w:val="24"/>
                <w:szCs w:val="24"/>
              </w:rPr>
              <w:t xml:space="preserve">. 21.95 crore </w:t>
            </w:r>
            <w:r w:rsidR="002B3793">
              <w:rPr>
                <w:rFonts w:ascii="Book Antiqua" w:hAnsi="Book Antiqua"/>
                <w:sz w:val="24"/>
                <w:szCs w:val="24"/>
              </w:rPr>
              <w:t xml:space="preserve">of which </w:t>
            </w:r>
            <w:proofErr w:type="spellStart"/>
            <w:r w:rsidRPr="00C26823">
              <w:rPr>
                <w:rFonts w:ascii="Book Antiqua" w:hAnsi="Book Antiqua"/>
                <w:sz w:val="24"/>
                <w:szCs w:val="24"/>
              </w:rPr>
              <w:t>Rs</w:t>
            </w:r>
            <w:proofErr w:type="spellEnd"/>
            <w:r w:rsidRPr="00C26823">
              <w:rPr>
                <w:rFonts w:ascii="Book Antiqua" w:hAnsi="Book Antiqua"/>
                <w:sz w:val="24"/>
                <w:szCs w:val="24"/>
              </w:rPr>
              <w:t xml:space="preserve">. 12.48 crore PSDF grant &amp; remaining 9.47 crore is Entity portion. Out of the entity portion, the </w:t>
            </w:r>
            <w:r w:rsidRPr="00C26823">
              <w:rPr>
                <w:rFonts w:ascii="Book Antiqua" w:hAnsi="Book Antiqua"/>
                <w:b/>
                <w:bCs/>
                <w:sz w:val="24"/>
                <w:szCs w:val="24"/>
              </w:rPr>
              <w:t xml:space="preserve">SLDC share is </w:t>
            </w:r>
            <w:proofErr w:type="spellStart"/>
            <w:r w:rsidRPr="00C26823">
              <w:rPr>
                <w:rFonts w:ascii="Book Antiqua" w:hAnsi="Book Antiqua"/>
                <w:b/>
                <w:bCs/>
                <w:sz w:val="24"/>
                <w:szCs w:val="24"/>
              </w:rPr>
              <w:t>Rs</w:t>
            </w:r>
            <w:proofErr w:type="spellEnd"/>
            <w:r w:rsidRPr="00C26823">
              <w:rPr>
                <w:rFonts w:ascii="Book Antiqua" w:hAnsi="Book Antiqua"/>
                <w:b/>
                <w:bCs/>
                <w:sz w:val="24"/>
                <w:szCs w:val="24"/>
              </w:rPr>
              <w:t>. 5.17 crore</w:t>
            </w:r>
            <w:r w:rsidRPr="00C26823">
              <w:rPr>
                <w:rFonts w:ascii="Book Antiqua" w:hAnsi="Book Antiqua"/>
                <w:sz w:val="24"/>
                <w:szCs w:val="24"/>
              </w:rPr>
              <w:t xml:space="preserve">, which is </w:t>
            </w:r>
            <w:r w:rsidRPr="00C26823">
              <w:rPr>
                <w:rFonts w:ascii="Book Antiqua" w:hAnsi="Book Antiqua"/>
                <w:b/>
                <w:bCs/>
                <w:sz w:val="24"/>
                <w:szCs w:val="24"/>
              </w:rPr>
              <w:t>not covered under the grant component</w:t>
            </w:r>
            <w:r w:rsidRPr="00C26823">
              <w:rPr>
                <w:rFonts w:ascii="Book Antiqua" w:hAnsi="Book Antiqua"/>
                <w:sz w:val="24"/>
                <w:szCs w:val="24"/>
              </w:rPr>
              <w:t>. Accordingly, there is no financial burden on the licensees</w:t>
            </w:r>
            <w:r w:rsidR="0034085F" w:rsidRPr="00C26823">
              <w:rPr>
                <w:rFonts w:ascii="Book Antiqua" w:hAnsi="Book Antiqua"/>
                <w:sz w:val="24"/>
                <w:szCs w:val="24"/>
              </w:rPr>
              <w:t xml:space="preserve"> for the grant portion. </w:t>
            </w:r>
          </w:p>
          <w:p w:rsidR="00164B93" w:rsidRPr="00164B93" w:rsidRDefault="00164B93" w:rsidP="00164B93">
            <w:pPr>
              <w:pStyle w:val="ListParagraph"/>
              <w:spacing w:line="240" w:lineRule="auto"/>
              <w:jc w:val="both"/>
              <w:rPr>
                <w:rFonts w:ascii="Book Antiqua" w:hAnsi="Book Antiqua" w:cs="Arial"/>
                <w:sz w:val="16"/>
                <w:szCs w:val="24"/>
              </w:rPr>
            </w:pPr>
          </w:p>
          <w:p w:rsidR="000575EB" w:rsidRPr="00C26823" w:rsidRDefault="000575EB" w:rsidP="000575EB">
            <w:pPr>
              <w:pStyle w:val="ListParagraph"/>
              <w:numPr>
                <w:ilvl w:val="0"/>
                <w:numId w:val="1"/>
              </w:numPr>
              <w:spacing w:line="240" w:lineRule="auto"/>
              <w:jc w:val="both"/>
              <w:rPr>
                <w:rFonts w:ascii="Book Antiqua" w:hAnsi="Book Antiqua" w:cs="Arial"/>
                <w:sz w:val="24"/>
                <w:szCs w:val="24"/>
              </w:rPr>
            </w:pPr>
            <w:r w:rsidRPr="00C26823">
              <w:rPr>
                <w:rFonts w:ascii="Book Antiqua" w:hAnsi="Book Antiqua" w:cs="Arial"/>
                <w:sz w:val="24"/>
                <w:szCs w:val="24"/>
              </w:rPr>
              <w:t xml:space="preserve">SLDC works are proposed to be executed in the Financial Year 2026-27.  Till date, </w:t>
            </w:r>
            <w:bookmarkStart w:id="0" w:name="_GoBack"/>
            <w:bookmarkEnd w:id="0"/>
            <w:r w:rsidRPr="00C26823">
              <w:rPr>
                <w:rFonts w:ascii="Book Antiqua" w:hAnsi="Book Antiqua" w:cs="Arial"/>
                <w:sz w:val="24"/>
                <w:szCs w:val="24"/>
              </w:rPr>
              <w:t>SLDC didn’t utilize any grant. Hence, the same was not reconciled in formats.</w:t>
            </w:r>
          </w:p>
          <w:p w:rsidR="000575EB" w:rsidRPr="00C26823" w:rsidRDefault="000575EB" w:rsidP="004C04FF">
            <w:pPr>
              <w:pStyle w:val="ListParagraph"/>
              <w:spacing w:line="240" w:lineRule="auto"/>
              <w:jc w:val="both"/>
              <w:rPr>
                <w:rFonts w:ascii="Book Antiqua" w:hAnsi="Book Antiqua" w:cs="Arial"/>
                <w:sz w:val="24"/>
                <w:szCs w:val="24"/>
              </w:rPr>
            </w:pPr>
          </w:p>
          <w:p w:rsidR="000575EB" w:rsidRPr="00C26823" w:rsidRDefault="000575EB" w:rsidP="000575EB">
            <w:pPr>
              <w:pStyle w:val="ListParagraph"/>
              <w:numPr>
                <w:ilvl w:val="0"/>
                <w:numId w:val="1"/>
              </w:numPr>
              <w:spacing w:line="240" w:lineRule="auto"/>
              <w:rPr>
                <w:rFonts w:ascii="Book Antiqua" w:hAnsi="Book Antiqua" w:cs="Arial"/>
                <w:sz w:val="24"/>
                <w:szCs w:val="24"/>
              </w:rPr>
            </w:pPr>
            <w:r w:rsidRPr="00C26823">
              <w:rPr>
                <w:rFonts w:ascii="Book Antiqua" w:hAnsi="Book Antiqua" w:cs="Arial"/>
                <w:sz w:val="24"/>
                <w:szCs w:val="24"/>
              </w:rPr>
              <w:t xml:space="preserve">Depreciation will be calculated on </w:t>
            </w:r>
            <w:proofErr w:type="spellStart"/>
            <w:r w:rsidRPr="00C26823">
              <w:rPr>
                <w:rFonts w:ascii="Book Antiqua" w:hAnsi="Book Antiqua" w:cs="Arial"/>
                <w:sz w:val="24"/>
                <w:szCs w:val="24"/>
              </w:rPr>
              <w:t>Rs</w:t>
            </w:r>
            <w:proofErr w:type="spellEnd"/>
            <w:r w:rsidRPr="00C26823">
              <w:rPr>
                <w:rFonts w:ascii="Book Antiqua" w:hAnsi="Book Antiqua" w:cs="Arial"/>
                <w:sz w:val="24"/>
                <w:szCs w:val="24"/>
              </w:rPr>
              <w:t xml:space="preserve"> 5.17 Cr only excluding the PSDF grant of </w:t>
            </w:r>
            <w:proofErr w:type="spellStart"/>
            <w:r w:rsidRPr="00C26823">
              <w:rPr>
                <w:rFonts w:ascii="Book Antiqua" w:hAnsi="Book Antiqua" w:cs="Arial"/>
                <w:sz w:val="24"/>
                <w:szCs w:val="24"/>
              </w:rPr>
              <w:t>Rs</w:t>
            </w:r>
            <w:proofErr w:type="spellEnd"/>
            <w:r w:rsidRPr="00C26823">
              <w:rPr>
                <w:rFonts w:ascii="Book Antiqua" w:hAnsi="Book Antiqua" w:cs="Arial"/>
                <w:sz w:val="24"/>
                <w:szCs w:val="24"/>
              </w:rPr>
              <w:t xml:space="preserve"> 9</w:t>
            </w:r>
            <w:r w:rsidR="00484192">
              <w:rPr>
                <w:rFonts w:ascii="Book Antiqua" w:hAnsi="Book Antiqua" w:cs="Arial"/>
                <w:sz w:val="24"/>
                <w:szCs w:val="24"/>
              </w:rPr>
              <w:t xml:space="preserve">.47 </w:t>
            </w:r>
            <w:r w:rsidRPr="00C26823">
              <w:rPr>
                <w:rFonts w:ascii="Book Antiqua" w:hAnsi="Book Antiqua" w:cs="Arial"/>
                <w:sz w:val="24"/>
                <w:szCs w:val="24"/>
              </w:rPr>
              <w:t>Cr for the SLDC works.</w:t>
            </w:r>
          </w:p>
          <w:p w:rsidR="000575EB" w:rsidRPr="00C26823" w:rsidRDefault="000575EB" w:rsidP="004C04FF">
            <w:pPr>
              <w:pStyle w:val="ListParagraph"/>
              <w:rPr>
                <w:rFonts w:ascii="Book Antiqua" w:hAnsi="Book Antiqua" w:cs="Arial"/>
                <w:sz w:val="24"/>
                <w:szCs w:val="24"/>
              </w:rPr>
            </w:pPr>
          </w:p>
          <w:p w:rsidR="000575EB" w:rsidRPr="00C26823" w:rsidRDefault="000575EB" w:rsidP="000575EB">
            <w:pPr>
              <w:pStyle w:val="ListParagraph"/>
              <w:numPr>
                <w:ilvl w:val="0"/>
                <w:numId w:val="1"/>
              </w:numPr>
              <w:rPr>
                <w:rFonts w:ascii="Book Antiqua" w:hAnsi="Book Antiqua" w:cs="Arial"/>
                <w:sz w:val="24"/>
                <w:szCs w:val="24"/>
              </w:rPr>
            </w:pPr>
            <w:r w:rsidRPr="00C26823">
              <w:rPr>
                <w:rFonts w:ascii="Book Antiqua" w:hAnsi="Book Antiqua" w:cs="Arial"/>
                <w:sz w:val="24"/>
                <w:szCs w:val="24"/>
                <w:u w:val="single"/>
              </w:rPr>
              <w:t>Justification</w:t>
            </w:r>
            <w:r w:rsidRPr="00C26823">
              <w:rPr>
                <w:rFonts w:ascii="Book Antiqua" w:hAnsi="Book Antiqua" w:cs="Arial"/>
                <w:sz w:val="24"/>
                <w:szCs w:val="24"/>
              </w:rPr>
              <w:t xml:space="preserve">: </w:t>
            </w:r>
          </w:p>
          <w:p w:rsidR="000575EB" w:rsidRPr="00C26823" w:rsidRDefault="000575EB" w:rsidP="004C04FF">
            <w:pPr>
              <w:pStyle w:val="ListParagraph"/>
              <w:jc w:val="both"/>
              <w:rPr>
                <w:rFonts w:ascii="Book Antiqua" w:hAnsi="Book Antiqua" w:cs="Arial"/>
                <w:b/>
                <w:bCs/>
                <w:sz w:val="24"/>
                <w:szCs w:val="24"/>
              </w:rPr>
            </w:pPr>
            <w:r w:rsidRPr="00C26823">
              <w:rPr>
                <w:rFonts w:ascii="Book Antiqua" w:hAnsi="Book Antiqua" w:cs="Arial"/>
                <w:sz w:val="24"/>
                <w:szCs w:val="24"/>
              </w:rPr>
              <w:t>The Availability Based Tariff (ABT) regime introduced by CERC at the national level had a positive impact. Hence, SERCs are advised to introduce ABT regime at state level i.e., implementation of ABT and frequency linked Deviation Settlement Mechanism (DSM) at state level.</w:t>
            </w:r>
          </w:p>
          <w:p w:rsidR="000575EB" w:rsidRPr="00C26823" w:rsidRDefault="000575EB" w:rsidP="004C04FF">
            <w:pPr>
              <w:pStyle w:val="ListParagraph"/>
              <w:rPr>
                <w:rFonts w:ascii="Book Antiqua" w:hAnsi="Book Antiqua" w:cs="Arial"/>
                <w:bCs/>
                <w:sz w:val="24"/>
                <w:szCs w:val="24"/>
              </w:rPr>
            </w:pPr>
          </w:p>
          <w:p w:rsidR="000575EB" w:rsidRPr="00C26823" w:rsidRDefault="000575EB" w:rsidP="004C04FF">
            <w:pPr>
              <w:pStyle w:val="ListParagraph"/>
              <w:jc w:val="both"/>
              <w:rPr>
                <w:rFonts w:ascii="Book Antiqua" w:hAnsi="Book Antiqua" w:cs="Arial"/>
                <w:sz w:val="24"/>
                <w:szCs w:val="24"/>
              </w:rPr>
            </w:pPr>
          </w:p>
          <w:p w:rsidR="000575EB" w:rsidRPr="00C26823" w:rsidRDefault="000575EB" w:rsidP="004C04FF">
            <w:pPr>
              <w:pStyle w:val="ListParagraph"/>
              <w:jc w:val="both"/>
              <w:rPr>
                <w:rFonts w:ascii="Book Antiqua" w:hAnsi="Book Antiqua"/>
                <w:sz w:val="24"/>
                <w:szCs w:val="24"/>
              </w:rPr>
            </w:pPr>
            <w:r w:rsidRPr="00C26823">
              <w:rPr>
                <w:rFonts w:ascii="Book Antiqua" w:hAnsi="Book Antiqua" w:cs="Arial"/>
                <w:sz w:val="24"/>
                <w:szCs w:val="24"/>
              </w:rPr>
              <w:t xml:space="preserve">Further, Hon’ble TGERC had notified the Deviation Settlement Mechanism (DSM) and Related </w:t>
            </w:r>
            <w:proofErr w:type="gramStart"/>
            <w:r w:rsidRPr="00C26823">
              <w:rPr>
                <w:rFonts w:ascii="Book Antiqua" w:hAnsi="Book Antiqua" w:cs="Arial"/>
                <w:sz w:val="24"/>
                <w:szCs w:val="24"/>
              </w:rPr>
              <w:t>matters</w:t>
            </w:r>
            <w:proofErr w:type="gramEnd"/>
            <w:r w:rsidRPr="00C26823">
              <w:rPr>
                <w:rFonts w:ascii="Book Antiqua" w:hAnsi="Book Antiqua" w:cs="Arial"/>
                <w:sz w:val="24"/>
                <w:szCs w:val="24"/>
              </w:rPr>
              <w:t xml:space="preserve"> Regulation No.3 of 2021, dated 16.06.2021, for carrying out Intra-State DSM. Accordingly, TGSLDC has initiated the SAMAST (i.e. Scheduling, Accounting, Metering and Settlement of Transactions in Electricity) project to implement intrastate ABT in Telangana. </w:t>
            </w:r>
          </w:p>
        </w:tc>
      </w:tr>
    </w:tbl>
    <w:p w:rsidR="000575EB" w:rsidRPr="00296E3E" w:rsidRDefault="000575EB" w:rsidP="000575EB">
      <w:pPr>
        <w:pStyle w:val="BodyText"/>
        <w:spacing w:before="202" w:line="271" w:lineRule="auto"/>
        <w:ind w:right="159"/>
        <w:jc w:val="center"/>
        <w:rPr>
          <w:rFonts w:ascii="Book Antiqua" w:hAnsi="Book Antiqua"/>
          <w:sz w:val="24"/>
          <w:szCs w:val="24"/>
        </w:rPr>
      </w:pPr>
    </w:p>
    <w:p w:rsidR="000575EB" w:rsidRPr="00296E3E" w:rsidRDefault="000575EB" w:rsidP="000575EB">
      <w:pPr>
        <w:pStyle w:val="BodyText"/>
        <w:spacing w:before="202" w:line="271" w:lineRule="auto"/>
        <w:ind w:right="159"/>
        <w:jc w:val="center"/>
        <w:rPr>
          <w:rFonts w:ascii="Book Antiqua" w:hAnsi="Book Antiqua"/>
          <w:sz w:val="24"/>
          <w:szCs w:val="24"/>
        </w:rPr>
      </w:pPr>
    </w:p>
    <w:p w:rsidR="000575EB" w:rsidRPr="00296E3E" w:rsidRDefault="000575EB" w:rsidP="000575EB">
      <w:pPr>
        <w:pStyle w:val="BodyText"/>
        <w:spacing w:before="202" w:line="271" w:lineRule="auto"/>
        <w:ind w:right="159"/>
        <w:jc w:val="center"/>
        <w:rPr>
          <w:rFonts w:ascii="Book Antiqua" w:hAnsi="Book Antiqua"/>
          <w:sz w:val="24"/>
          <w:szCs w:val="24"/>
        </w:rPr>
      </w:pPr>
    </w:p>
    <w:p w:rsidR="000575EB" w:rsidRPr="00296E3E" w:rsidRDefault="000575EB" w:rsidP="000575EB">
      <w:pPr>
        <w:pStyle w:val="BodyText"/>
        <w:spacing w:before="202" w:line="271" w:lineRule="auto"/>
        <w:ind w:right="159"/>
        <w:jc w:val="center"/>
        <w:rPr>
          <w:rFonts w:ascii="Book Antiqua" w:hAnsi="Book Antiqua"/>
          <w:sz w:val="24"/>
          <w:szCs w:val="24"/>
        </w:rPr>
      </w:pPr>
    </w:p>
    <w:p w:rsidR="000575EB" w:rsidRPr="00296E3E" w:rsidRDefault="000575EB" w:rsidP="000575EB">
      <w:pPr>
        <w:pStyle w:val="BodyText"/>
        <w:spacing w:before="202" w:line="271" w:lineRule="auto"/>
        <w:ind w:right="159"/>
        <w:jc w:val="center"/>
        <w:rPr>
          <w:rFonts w:ascii="Book Antiqua" w:hAnsi="Book Antiqua"/>
          <w:sz w:val="24"/>
          <w:szCs w:val="24"/>
        </w:rPr>
      </w:pPr>
    </w:p>
    <w:p w:rsidR="000575EB" w:rsidRPr="00296E3E" w:rsidRDefault="000575EB" w:rsidP="000575EB">
      <w:pPr>
        <w:spacing w:after="0"/>
        <w:rPr>
          <w:rFonts w:ascii="Book Antiqua" w:hAnsi="Book Antiqua"/>
          <w:b/>
          <w:sz w:val="24"/>
          <w:szCs w:val="24"/>
          <w:u w:val="single"/>
        </w:rPr>
      </w:pPr>
    </w:p>
    <w:p w:rsidR="00F520E9" w:rsidRDefault="00F520E9"/>
    <w:sectPr w:rsidR="00F520E9" w:rsidSect="0056364C">
      <w:headerReference w:type="default" r:id="rId7"/>
      <w:footerReference w:type="default" r:id="rId8"/>
      <w:pgSz w:w="16838" w:h="11906" w:orient="landscape" w:code="9"/>
      <w:pgMar w:top="1152" w:right="864" w:bottom="1152" w:left="1152"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302" w:rsidRDefault="00EA4302">
      <w:pPr>
        <w:spacing w:after="0" w:line="240" w:lineRule="auto"/>
      </w:pPr>
      <w:r>
        <w:separator/>
      </w:r>
    </w:p>
  </w:endnote>
  <w:endnote w:type="continuationSeparator" w:id="0">
    <w:p w:rsidR="00EA4302" w:rsidRDefault="00EA4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B37" w:rsidRDefault="000575EB">
    <w:pPr>
      <w:pStyle w:val="Footer"/>
      <w:jc w:val="center"/>
    </w:pPr>
    <w:r>
      <w:fldChar w:fldCharType="begin"/>
    </w:r>
    <w:r>
      <w:instrText xml:space="preserve"> PAGE   \* MERGEFORMAT </w:instrText>
    </w:r>
    <w:r>
      <w:fldChar w:fldCharType="separate"/>
    </w:r>
    <w:r w:rsidR="00164B93">
      <w:rPr>
        <w:noProof/>
      </w:rPr>
      <w:t>1</w:t>
    </w:r>
    <w:r>
      <w:rPr>
        <w:noProof/>
      </w:rPr>
      <w:fldChar w:fldCharType="end"/>
    </w:r>
  </w:p>
  <w:p w:rsidR="003D3B37" w:rsidRDefault="00EA430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302" w:rsidRDefault="00EA4302">
      <w:pPr>
        <w:spacing w:after="0" w:line="240" w:lineRule="auto"/>
      </w:pPr>
      <w:r>
        <w:separator/>
      </w:r>
    </w:p>
  </w:footnote>
  <w:footnote w:type="continuationSeparator" w:id="0">
    <w:p w:rsidR="00EA4302" w:rsidRDefault="00EA43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B37" w:rsidRDefault="00EA4302">
    <w:pPr>
      <w:pStyle w:val="Header"/>
      <w:jc w:val="center"/>
    </w:pPr>
  </w:p>
  <w:p w:rsidR="003D3B37" w:rsidRDefault="00EA430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0025BE"/>
    <w:multiLevelType w:val="hybridMultilevel"/>
    <w:tmpl w:val="642C65E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1E2"/>
    <w:rsid w:val="00055997"/>
    <w:rsid w:val="000575EB"/>
    <w:rsid w:val="000E7E65"/>
    <w:rsid w:val="00164B93"/>
    <w:rsid w:val="001E411B"/>
    <w:rsid w:val="002B3793"/>
    <w:rsid w:val="0034085F"/>
    <w:rsid w:val="00484192"/>
    <w:rsid w:val="007605FA"/>
    <w:rsid w:val="008E0C9A"/>
    <w:rsid w:val="00A821E2"/>
    <w:rsid w:val="00C26823"/>
    <w:rsid w:val="00D4571D"/>
    <w:rsid w:val="00E71A91"/>
    <w:rsid w:val="00E84AED"/>
    <w:rsid w:val="00EA4302"/>
    <w:rsid w:val="00F520E9"/>
    <w:rsid w:val="00F95DC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88F5F"/>
  <w15:chartTrackingRefBased/>
  <w15:docId w15:val="{AF37BE21-6665-4F9C-A177-BEA7E8024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5EB"/>
    <w:pPr>
      <w:spacing w:after="200" w:line="276" w:lineRule="auto"/>
    </w:pPr>
    <w:rPr>
      <w:rFonts w:ascii="Calibri" w:eastAsia="Calibri" w:hAnsi="Calibri" w:cs="Times New Roman"/>
      <w:lang w:val="en-US"/>
    </w:rPr>
  </w:style>
  <w:style w:type="paragraph" w:styleId="Heading3">
    <w:name w:val="heading 3"/>
    <w:basedOn w:val="Normal"/>
    <w:next w:val="Normal"/>
    <w:link w:val="Heading3Char"/>
    <w:uiPriority w:val="9"/>
    <w:unhideWhenUsed/>
    <w:qFormat/>
    <w:rsid w:val="000575E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575EB"/>
    <w:rPr>
      <w:rFonts w:asciiTheme="majorHAnsi" w:eastAsiaTheme="majorEastAsia" w:hAnsiTheme="majorHAnsi" w:cstheme="majorBidi"/>
      <w:color w:val="1F4D78" w:themeColor="accent1" w:themeShade="7F"/>
      <w:sz w:val="24"/>
      <w:szCs w:val="24"/>
      <w:lang w:val="en-US"/>
    </w:rPr>
  </w:style>
  <w:style w:type="paragraph" w:styleId="ListParagraph">
    <w:name w:val="List Paragraph"/>
    <w:aliases w:val="section 1 para"/>
    <w:basedOn w:val="Normal"/>
    <w:link w:val="ListParagraphChar"/>
    <w:uiPriority w:val="34"/>
    <w:qFormat/>
    <w:rsid w:val="000575EB"/>
    <w:pPr>
      <w:ind w:left="720"/>
      <w:contextualSpacing/>
    </w:pPr>
    <w:rPr>
      <w:sz w:val="20"/>
      <w:szCs w:val="20"/>
    </w:rPr>
  </w:style>
  <w:style w:type="character" w:customStyle="1" w:styleId="ListParagraphChar">
    <w:name w:val="List Paragraph Char"/>
    <w:aliases w:val="section 1 para Char"/>
    <w:link w:val="ListParagraph"/>
    <w:uiPriority w:val="34"/>
    <w:locked/>
    <w:rsid w:val="000575EB"/>
    <w:rPr>
      <w:rFonts w:ascii="Calibri" w:eastAsia="Calibri" w:hAnsi="Calibri" w:cs="Times New Roman"/>
      <w:sz w:val="20"/>
      <w:szCs w:val="20"/>
      <w:lang w:val="en-US"/>
    </w:rPr>
  </w:style>
  <w:style w:type="paragraph" w:styleId="Header">
    <w:name w:val="header"/>
    <w:basedOn w:val="Normal"/>
    <w:link w:val="HeaderChar"/>
    <w:uiPriority w:val="99"/>
    <w:unhideWhenUsed/>
    <w:rsid w:val="000575EB"/>
    <w:pPr>
      <w:tabs>
        <w:tab w:val="center" w:pos="4680"/>
        <w:tab w:val="right" w:pos="9360"/>
      </w:tabs>
      <w:spacing w:after="0" w:line="240" w:lineRule="auto"/>
    </w:pPr>
    <w:rPr>
      <w:rFonts w:eastAsia="Times New Roman" w:cs="Mangal"/>
      <w:szCs w:val="20"/>
      <w:lang w:bidi="hi-IN"/>
    </w:rPr>
  </w:style>
  <w:style w:type="character" w:customStyle="1" w:styleId="HeaderChar">
    <w:name w:val="Header Char"/>
    <w:basedOn w:val="DefaultParagraphFont"/>
    <w:link w:val="Header"/>
    <w:uiPriority w:val="99"/>
    <w:rsid w:val="000575EB"/>
    <w:rPr>
      <w:rFonts w:ascii="Calibri" w:eastAsia="Times New Roman" w:hAnsi="Calibri" w:cs="Mangal"/>
      <w:szCs w:val="20"/>
      <w:lang w:val="en-US" w:bidi="hi-IN"/>
    </w:rPr>
  </w:style>
  <w:style w:type="paragraph" w:styleId="Footer">
    <w:name w:val="footer"/>
    <w:basedOn w:val="Normal"/>
    <w:link w:val="FooterChar"/>
    <w:uiPriority w:val="99"/>
    <w:unhideWhenUsed/>
    <w:rsid w:val="000575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75EB"/>
    <w:rPr>
      <w:rFonts w:ascii="Calibri" w:eastAsia="Calibri" w:hAnsi="Calibri" w:cs="Times New Roman"/>
      <w:lang w:val="en-US"/>
    </w:rPr>
  </w:style>
  <w:style w:type="paragraph" w:styleId="BodyText">
    <w:name w:val="Body Text"/>
    <w:basedOn w:val="Normal"/>
    <w:link w:val="BodyTextChar"/>
    <w:uiPriority w:val="99"/>
    <w:unhideWhenUsed/>
    <w:rsid w:val="000575EB"/>
    <w:pPr>
      <w:spacing w:after="120"/>
    </w:pPr>
  </w:style>
  <w:style w:type="character" w:customStyle="1" w:styleId="BodyTextChar">
    <w:name w:val="Body Text Char"/>
    <w:basedOn w:val="DefaultParagraphFont"/>
    <w:link w:val="BodyText"/>
    <w:uiPriority w:val="99"/>
    <w:rsid w:val="000575EB"/>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42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624</Words>
  <Characters>3558</Characters>
  <Application>Microsoft Office Word</Application>
  <DocSecurity>0</DocSecurity>
  <Lines>29</Lines>
  <Paragraphs>8</Paragraphs>
  <ScaleCrop>false</ScaleCrop>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TGTRANSCO</dc:creator>
  <cp:keywords/>
  <dc:description/>
  <cp:lastModifiedBy>TGTRANSCO</cp:lastModifiedBy>
  <cp:revision>17</cp:revision>
  <dcterms:created xsi:type="dcterms:W3CDTF">2026-01-19T10:56:00Z</dcterms:created>
  <dcterms:modified xsi:type="dcterms:W3CDTF">2026-01-20T09:32:00Z</dcterms:modified>
</cp:coreProperties>
</file>